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00"/>
        </w:tabs>
        <w:spacing w:after="200" w:lineRule="auto"/>
        <w:rPr>
          <w:rFonts w:ascii="Crimson Pro" w:cs="Crimson Pro" w:eastAsia="Crimson Pro" w:hAnsi="Crimson Pro"/>
          <w:sz w:val="26"/>
          <w:szCs w:val="26"/>
        </w:rPr>
      </w:pPr>
      <w:r w:rsidDel="00000000" w:rsidR="00000000" w:rsidRPr="00000000">
        <w:rPr>
          <w:rFonts w:ascii="Crimson Pro" w:cs="Crimson Pro" w:eastAsia="Crimson Pro" w:hAnsi="Crimson Pro"/>
          <w:b w:val="1"/>
          <w:sz w:val="26"/>
          <w:szCs w:val="26"/>
          <w:rtl w:val="0"/>
        </w:rPr>
        <w:t xml:space="preserve">Date:</w:t>
      </w:r>
      <w:r w:rsidDel="00000000" w:rsidR="00000000" w:rsidRPr="00000000">
        <w:rPr>
          <w:rFonts w:ascii="Crimson Pro" w:cs="Crimson Pro" w:eastAsia="Crimson Pro" w:hAnsi="Crimson Pro"/>
          <w:sz w:val="26"/>
          <w:szCs w:val="26"/>
          <w:rtl w:val="0"/>
        </w:rPr>
        <w:t xml:space="preserve"> </w:t>
        <w:tab/>
        <w:t xml:space="preserve">July </w:t>
      </w:r>
      <w:r w:rsidDel="00000000" w:rsidR="00000000" w:rsidRPr="00000000">
        <w:rPr>
          <w:rFonts w:ascii="Crimson Pro" w:cs="Crimson Pro" w:eastAsia="Crimson Pro" w:hAnsi="Crimson Pro"/>
          <w:sz w:val="26"/>
          <w:szCs w:val="26"/>
          <w:rtl w:val="0"/>
        </w:rPr>
        <w:t xml:space="preserve">13</w:t>
      </w:r>
      <w:r w:rsidDel="00000000" w:rsidR="00000000" w:rsidRPr="00000000">
        <w:rPr>
          <w:rFonts w:ascii="Crimson Pro" w:cs="Crimson Pro" w:eastAsia="Crimson Pro" w:hAnsi="Crimson Pro"/>
          <w:sz w:val="26"/>
          <w:szCs w:val="26"/>
          <w:rtl w:val="0"/>
        </w:rPr>
        <w:t xml:space="preserve">, 2021</w:t>
      </w:r>
    </w:p>
    <w:p w:rsidR="00000000" w:rsidDel="00000000" w:rsidP="00000000" w:rsidRDefault="00000000" w:rsidRPr="00000000" w14:paraId="00000002">
      <w:pPr>
        <w:tabs>
          <w:tab w:val="left" w:pos="900"/>
        </w:tabs>
        <w:rPr>
          <w:rFonts w:ascii="Crimson Pro" w:cs="Crimson Pro" w:eastAsia="Crimson Pro" w:hAnsi="Crimson Pro"/>
          <w:sz w:val="26"/>
          <w:szCs w:val="26"/>
        </w:rPr>
      </w:pPr>
      <w:r w:rsidDel="00000000" w:rsidR="00000000" w:rsidRPr="00000000">
        <w:rPr>
          <w:rFonts w:ascii="Crimson Pro" w:cs="Crimson Pro" w:eastAsia="Crimson Pro" w:hAnsi="Crimson Pro"/>
          <w:b w:val="1"/>
          <w:sz w:val="26"/>
          <w:szCs w:val="26"/>
          <w:rtl w:val="0"/>
        </w:rPr>
        <w:t xml:space="preserve">To: </w:t>
        <w:tab/>
      </w:r>
      <w:r w:rsidDel="00000000" w:rsidR="00000000" w:rsidRPr="00000000">
        <w:rPr>
          <w:rFonts w:ascii="Crimson Pro" w:cs="Crimson Pro" w:eastAsia="Crimson Pro" w:hAnsi="Crimson Pro"/>
          <w:sz w:val="26"/>
          <w:szCs w:val="26"/>
          <w:rtl w:val="0"/>
        </w:rPr>
        <w:t xml:space="preserve">Secretary Marcia L. Fudge</w:t>
      </w:r>
    </w:p>
    <w:p w:rsidR="00000000" w:rsidDel="00000000" w:rsidP="00000000" w:rsidRDefault="00000000" w:rsidRPr="00000000" w14:paraId="00000003">
      <w:pPr>
        <w:tabs>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U.S. Department of Housing and Urban Development (HUD)</w:t>
      </w:r>
    </w:p>
    <w:p w:rsidR="00000000" w:rsidDel="00000000" w:rsidP="00000000" w:rsidRDefault="00000000" w:rsidRPr="00000000" w14:paraId="00000004">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Acting Director Dave Uejio</w:t>
      </w:r>
    </w:p>
    <w:p w:rsidR="00000000" w:rsidDel="00000000" w:rsidP="00000000" w:rsidRDefault="00000000" w:rsidRPr="00000000" w14:paraId="00000005">
      <w:pPr>
        <w:tabs>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Consumer Financial Protection Bureau (CFPB)</w:t>
      </w:r>
    </w:p>
    <w:p w:rsidR="00000000" w:rsidDel="00000000" w:rsidP="00000000" w:rsidRDefault="00000000" w:rsidRPr="00000000" w14:paraId="00000006">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Chair Lina Khan</w:t>
      </w:r>
    </w:p>
    <w:p w:rsidR="00000000" w:rsidDel="00000000" w:rsidP="00000000" w:rsidRDefault="00000000" w:rsidRPr="00000000" w14:paraId="00000007">
      <w:pPr>
        <w:tabs>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Federal Trade Commission (FTC)</w:t>
      </w:r>
    </w:p>
    <w:p w:rsidR="00000000" w:rsidDel="00000000" w:rsidP="00000000" w:rsidRDefault="00000000" w:rsidRPr="00000000" w14:paraId="00000008">
      <w:pPr>
        <w:tabs>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Assistant Attorney General Kristen Clarke</w:t>
        <w:br w:type="textWrapping"/>
        <w:tab/>
        <w:t xml:space="preserve">Civil Rights Division, U.S. Department of Justice (DOJ)</w:t>
      </w:r>
    </w:p>
    <w:p w:rsidR="00000000" w:rsidDel="00000000" w:rsidP="00000000" w:rsidRDefault="00000000" w:rsidRPr="00000000" w14:paraId="00000009">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Chief Sameena Shina Majeed</w:t>
      </w:r>
    </w:p>
    <w:p w:rsidR="00000000" w:rsidDel="00000000" w:rsidP="00000000" w:rsidRDefault="00000000" w:rsidRPr="00000000" w14:paraId="0000000A">
      <w:pPr>
        <w:tabs>
          <w:tab w:val="left" w:pos="900"/>
        </w:tabs>
        <w:spacing w:after="200" w:lineRule="auto"/>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Housing &amp; Civil Enforcement Section, U.S. Department of Justice</w:t>
      </w:r>
    </w:p>
    <w:p w:rsidR="00000000" w:rsidDel="00000000" w:rsidP="00000000" w:rsidRDefault="00000000" w:rsidRPr="00000000" w14:paraId="0000000B">
      <w:pPr>
        <w:tabs>
          <w:tab w:val="left" w:pos="900"/>
        </w:tabs>
        <w:rPr>
          <w:rFonts w:ascii="Crimson Pro" w:cs="Crimson Pro" w:eastAsia="Crimson Pro" w:hAnsi="Crimson Pro"/>
          <w:sz w:val="26"/>
          <w:szCs w:val="26"/>
        </w:rPr>
      </w:pPr>
      <w:r w:rsidDel="00000000" w:rsidR="00000000" w:rsidRPr="00000000">
        <w:rPr>
          <w:rFonts w:ascii="Crimson Pro" w:cs="Crimson Pro" w:eastAsia="Crimson Pro" w:hAnsi="Crimson Pro"/>
          <w:b w:val="1"/>
          <w:sz w:val="26"/>
          <w:szCs w:val="26"/>
          <w:rtl w:val="0"/>
        </w:rPr>
        <w:t xml:space="preserve">From: </w:t>
        <w:tab/>
      </w:r>
      <w:r w:rsidDel="00000000" w:rsidR="00000000" w:rsidRPr="00000000">
        <w:rPr>
          <w:rFonts w:ascii="Crimson Pro" w:cs="Crimson Pro" w:eastAsia="Crimson Pro" w:hAnsi="Crimson Pro"/>
          <w:sz w:val="26"/>
          <w:szCs w:val="26"/>
          <w:rtl w:val="0"/>
        </w:rPr>
        <w:t xml:space="preserve">American Civil Liberties Union</w:t>
      </w:r>
    </w:p>
    <w:p w:rsidR="00000000" w:rsidDel="00000000" w:rsidP="00000000" w:rsidRDefault="00000000" w:rsidRPr="00000000" w14:paraId="0000000C">
      <w:pPr>
        <w:tabs>
          <w:tab w:val="left" w:pos="900"/>
        </w:tabs>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Center for Democracy &amp; Technology</w:t>
      </w:r>
    </w:p>
    <w:p w:rsidR="00000000" w:rsidDel="00000000" w:rsidP="00000000" w:rsidRDefault="00000000" w:rsidRPr="00000000" w14:paraId="0000000D">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Center on Privacy &amp; Technology at Georgetown Law</w:t>
      </w:r>
    </w:p>
    <w:p w:rsidR="00000000" w:rsidDel="00000000" w:rsidP="00000000" w:rsidRDefault="00000000" w:rsidRPr="00000000" w14:paraId="0000000E">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Lawyers’ Committee for Civil Rights Under Law</w:t>
      </w:r>
    </w:p>
    <w:p w:rsidR="00000000" w:rsidDel="00000000" w:rsidP="00000000" w:rsidRDefault="00000000" w:rsidRPr="00000000" w14:paraId="0000000F">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National Consumer Law Center (on behalf of its low-income clients)</w:t>
      </w:r>
    </w:p>
    <w:p w:rsidR="00000000" w:rsidDel="00000000" w:rsidP="00000000" w:rsidRDefault="00000000" w:rsidRPr="00000000" w14:paraId="00000010">
      <w:pPr>
        <w:tabs>
          <w:tab w:val="left" w:pos="900"/>
        </w:tabs>
        <w:ind w:firstLine="72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ab/>
        <w:t xml:space="preserve">National Fair Housing Alliance</w:t>
      </w:r>
    </w:p>
    <w:p w:rsidR="00000000" w:rsidDel="00000000" w:rsidP="00000000" w:rsidRDefault="00000000" w:rsidRPr="00000000" w14:paraId="00000011">
      <w:pPr>
        <w:tabs>
          <w:tab w:val="left" w:pos="900"/>
        </w:tabs>
        <w:spacing w:after="200" w:lineRule="auto"/>
        <w:ind w:firstLine="720"/>
        <w:rPr>
          <w:rFonts w:ascii="Crimson Pro" w:cs="Crimson Pro" w:eastAsia="Crimson Pro" w:hAnsi="Crimson Pro"/>
          <w:sz w:val="26"/>
          <w:szCs w:val="26"/>
          <w:highlight w:val="yellow"/>
        </w:rPr>
      </w:pPr>
      <w:r w:rsidDel="00000000" w:rsidR="00000000" w:rsidRPr="00000000">
        <w:rPr>
          <w:rFonts w:ascii="Crimson Pro" w:cs="Crimson Pro" w:eastAsia="Crimson Pro" w:hAnsi="Crimson Pro"/>
          <w:sz w:val="26"/>
          <w:szCs w:val="26"/>
          <w:rtl w:val="0"/>
        </w:rPr>
        <w:tab/>
        <w:t xml:space="preserve">Upturn</w:t>
      </w:r>
      <w:r w:rsidDel="00000000" w:rsidR="00000000" w:rsidRPr="00000000">
        <w:rPr>
          <w:rtl w:val="0"/>
        </w:rPr>
      </w:r>
    </w:p>
    <w:p w:rsidR="00000000" w:rsidDel="00000000" w:rsidP="00000000" w:rsidRDefault="00000000" w:rsidRPr="00000000" w14:paraId="00000012">
      <w:pPr>
        <w:spacing w:after="200" w:lineRule="auto"/>
        <w:rPr>
          <w:rFonts w:ascii="Crimson Pro" w:cs="Crimson Pro" w:eastAsia="Crimson Pro" w:hAnsi="Crimson Pro"/>
          <w:i w:val="1"/>
          <w:sz w:val="26"/>
          <w:szCs w:val="26"/>
        </w:rPr>
      </w:pPr>
      <w:r w:rsidDel="00000000" w:rsidR="00000000" w:rsidRPr="00000000">
        <w:rPr>
          <w:rFonts w:ascii="Crimson Pro" w:cs="Crimson Pro" w:eastAsia="Crimson Pro" w:hAnsi="Crimson Pro"/>
          <w:i w:val="1"/>
          <w:sz w:val="26"/>
          <w:szCs w:val="26"/>
          <w:rtl w:val="0"/>
        </w:rPr>
        <w:t xml:space="preserve">Via email </w:t>
      </w:r>
    </w:p>
    <w:p w:rsidR="00000000" w:rsidDel="00000000" w:rsidP="00000000" w:rsidRDefault="00000000" w:rsidRPr="00000000" w14:paraId="00000013">
      <w:pPr>
        <w:spacing w:after="200" w:lineRule="auto"/>
        <w:rPr>
          <w:rFonts w:ascii="Crimson Pro" w:cs="Crimson Pro" w:eastAsia="Crimson Pro" w:hAnsi="Crimson Pro"/>
          <w:b w:val="1"/>
          <w:sz w:val="26"/>
          <w:szCs w:val="26"/>
        </w:rPr>
      </w:pPr>
      <w:r w:rsidDel="00000000" w:rsidR="00000000" w:rsidRPr="00000000">
        <w:rPr>
          <w:rFonts w:ascii="Crimson Pro" w:cs="Crimson Pro" w:eastAsia="Crimson Pro" w:hAnsi="Crimson Pro"/>
          <w:b w:val="1"/>
          <w:sz w:val="26"/>
          <w:szCs w:val="26"/>
          <w:rtl w:val="0"/>
        </w:rPr>
        <w:t xml:space="preserve">RE: </w:t>
        <w:tab/>
      </w:r>
      <w:r w:rsidDel="00000000" w:rsidR="00000000" w:rsidRPr="00000000">
        <w:rPr>
          <w:rFonts w:ascii="Crimson Pro" w:cs="Crimson Pro" w:eastAsia="Crimson Pro" w:hAnsi="Crimson Pro"/>
          <w:b w:val="1"/>
          <w:sz w:val="26"/>
          <w:szCs w:val="26"/>
          <w:rtl w:val="0"/>
        </w:rPr>
        <w:t xml:space="preserve">Addressing Technology’s Role in Housing Discrimination</w:t>
      </w:r>
      <w:r w:rsidDel="00000000" w:rsidR="00000000" w:rsidRPr="00000000">
        <w:rPr>
          <w:rtl w:val="0"/>
        </w:rPr>
      </w:r>
    </w:p>
    <w:p w:rsidR="00000000" w:rsidDel="00000000" w:rsidP="00000000" w:rsidRDefault="00000000" w:rsidRPr="00000000" w14:paraId="00000014">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Too often, technology amplifies and exacerbates racial, gender, disability, economic, and intersectional inequity in our society. Governments and corporations, at the national, state, and local level, are using computer software, statistical models, assessment instruments, and other tools to make important decisions in areas such as employment, health, credit, housing, immigration, and the criminal legal system. </w:t>
      </w:r>
      <w:r w:rsidDel="00000000" w:rsidR="00000000" w:rsidRPr="00000000">
        <w:rPr>
          <w:rFonts w:ascii="Crimson Pro" w:cs="Crimson Pro" w:eastAsia="Crimson Pro" w:hAnsi="Crimson Pro"/>
          <w:sz w:val="26"/>
          <w:szCs w:val="26"/>
          <w:rtl w:val="0"/>
        </w:rPr>
        <w:t xml:space="preserve">In light of these developments, policymakers must take steps to ensure non-discriminatory and equitable outcomes in housing.</w:t>
      </w:r>
      <w:r w:rsidDel="00000000" w:rsidR="00000000" w:rsidRPr="00000000">
        <w:rPr>
          <w:rtl w:val="0"/>
        </w:rPr>
      </w:r>
    </w:p>
    <w:p w:rsidR="00000000" w:rsidDel="00000000" w:rsidP="00000000" w:rsidRDefault="00000000" w:rsidRPr="00000000" w14:paraId="00000015">
      <w:pPr>
        <w:rPr>
          <w:rFonts w:ascii="Crimson Pro" w:cs="Crimson Pro" w:eastAsia="Crimson Pro" w:hAnsi="Crimson Pro"/>
          <w:sz w:val="24"/>
          <w:szCs w:val="24"/>
        </w:rPr>
      </w:pPr>
      <w:r w:rsidDel="00000000" w:rsidR="00000000" w:rsidRPr="00000000">
        <w:rPr>
          <w:rtl w:val="0"/>
        </w:rPr>
      </w:r>
    </w:p>
    <w:p w:rsidR="00000000" w:rsidDel="00000000" w:rsidP="00000000" w:rsidRDefault="00000000" w:rsidRPr="00000000" w14:paraId="00000016">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We offer the following proposals for the Biden-Harris administration for addressing the role of technology in perpetuating discrimination in housing. </w:t>
      </w:r>
      <w:r w:rsidDel="00000000" w:rsidR="00000000" w:rsidRPr="00000000">
        <w:rPr>
          <w:rFonts w:ascii="Crimson Pro" w:cs="Crimson Pro" w:eastAsia="Crimson Pro" w:hAnsi="Crimson Pro"/>
          <w:sz w:val="26"/>
          <w:szCs w:val="26"/>
          <w:rtl w:val="0"/>
        </w:rPr>
        <w:t xml:space="preserve">We urge all agencies to engage with a diverse range of stakeholders, including</w:t>
      </w:r>
      <w:r w:rsidDel="00000000" w:rsidR="00000000" w:rsidRPr="00000000">
        <w:rPr>
          <w:rFonts w:ascii="Crimson Pro" w:cs="Crimson Pro" w:eastAsia="Crimson Pro" w:hAnsi="Crimson Pro"/>
          <w:sz w:val="26"/>
          <w:szCs w:val="26"/>
          <w:rtl w:val="0"/>
        </w:rPr>
        <w:t xml:space="preserve"> impacted communities, tenant organizers and housing advocates, reentry advocates, direct services providers (including housing court advocates and those assisting with finding housing and housing subsidies), and civil rights organizations</w:t>
      </w:r>
      <w:r w:rsidDel="00000000" w:rsidR="00000000" w:rsidRPr="00000000">
        <w:rPr>
          <w:rFonts w:ascii="Crimson Pro" w:cs="Crimson Pro" w:eastAsia="Crimson Pro" w:hAnsi="Crimson Pro"/>
          <w:sz w:val="26"/>
          <w:szCs w:val="26"/>
          <w:rtl w:val="0"/>
        </w:rPr>
        <w:t xml:space="preserve">, in order to receive ongoing input and feedback on these important issues. We also encourage agencies to prioritize transparency, both by sharing their data, models, decisions, and proposed solutions so that all of the stakeholders can stay apprised of and comment on the potential impact of proposed actions, and by </w:t>
      </w:r>
      <w:r w:rsidDel="00000000" w:rsidR="00000000" w:rsidRPr="00000000">
        <w:rPr>
          <w:rFonts w:ascii="Crimson Pro" w:cs="Crimson Pro" w:eastAsia="Crimson Pro" w:hAnsi="Crimson Pro"/>
          <w:sz w:val="26"/>
          <w:szCs w:val="26"/>
          <w:rtl w:val="0"/>
        </w:rPr>
        <w:t xml:space="preserve">encouraging </w:t>
      </w:r>
      <w:r w:rsidDel="00000000" w:rsidR="00000000" w:rsidRPr="00000000">
        <w:rPr>
          <w:rFonts w:ascii="Crimson Pro" w:cs="Crimson Pro" w:eastAsia="Crimson Pro" w:hAnsi="Crimson Pro"/>
          <w:sz w:val="26"/>
          <w:szCs w:val="26"/>
          <w:rtl w:val="0"/>
        </w:rPr>
        <w:t xml:space="preserve">users of housing-related technologies to share with the public as much information as possible regarding their technologies and assessments of those technologies. Additionally, we encourage agencies to actively monitor and audit the use of housing-related technologies, and to take investigation and enforcement actions to ensure compliance with the Fair Housing Act and civil rights laws. </w:t>
      </w:r>
      <w:r w:rsidDel="00000000" w:rsidR="00000000" w:rsidRPr="00000000">
        <w:rPr>
          <w:rFonts w:ascii="Crimson Pro" w:cs="Crimson Pro" w:eastAsia="Crimson Pro" w:hAnsi="Crimson Pro"/>
          <w:sz w:val="26"/>
          <w:szCs w:val="26"/>
          <w:rtl w:val="0"/>
        </w:rPr>
        <w:t xml:space="preserve">We’d be pleased to discuss these ideas further in the weeks and months ahead.</w:t>
      </w:r>
      <w:r w:rsidDel="00000000" w:rsidR="00000000" w:rsidRPr="00000000">
        <w:rPr>
          <w:rtl w:val="0"/>
        </w:rPr>
      </w:r>
    </w:p>
    <w:p w:rsidR="00000000" w:rsidDel="00000000" w:rsidP="00000000" w:rsidRDefault="00000000" w:rsidRPr="00000000" w14:paraId="00000017">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18">
      <w:pPr>
        <w:ind w:left="0" w:firstLine="0"/>
        <w:rPr>
          <w:rFonts w:ascii="Crimson Pro" w:cs="Crimson Pro" w:eastAsia="Crimson Pro" w:hAnsi="Crimson Pro"/>
          <w:sz w:val="28"/>
          <w:szCs w:val="28"/>
        </w:rPr>
      </w:pPr>
      <w:r w:rsidDel="00000000" w:rsidR="00000000" w:rsidRPr="00000000">
        <w:rPr>
          <w:rFonts w:ascii="Overpass" w:cs="Overpass" w:eastAsia="Overpass" w:hAnsi="Overpass"/>
          <w:b w:val="1"/>
          <w:sz w:val="28"/>
          <w:szCs w:val="28"/>
          <w:rtl w:val="0"/>
        </w:rPr>
        <w:t xml:space="preserve">1. Address disparate impacts in housing-related technologies.</w:t>
      </w:r>
      <w:r w:rsidDel="00000000" w:rsidR="00000000" w:rsidRPr="00000000">
        <w:rPr>
          <w:rtl w:val="0"/>
        </w:rPr>
      </w:r>
    </w:p>
    <w:p w:rsidR="00000000" w:rsidDel="00000000" w:rsidP="00000000" w:rsidRDefault="00000000" w:rsidRPr="00000000" w14:paraId="00000019">
      <w:pPr>
        <w:rPr>
          <w:rFonts w:ascii="Crimson Pro" w:cs="Crimson Pro" w:eastAsia="Crimson Pro" w:hAnsi="Crimson Pro"/>
          <w:sz w:val="24"/>
          <w:szCs w:val="24"/>
        </w:rPr>
      </w:pPr>
      <w:r w:rsidDel="00000000" w:rsidR="00000000" w:rsidRPr="00000000">
        <w:rPr>
          <w:rtl w:val="0"/>
        </w:rPr>
      </w:r>
    </w:p>
    <w:p w:rsidR="00000000" w:rsidDel="00000000" w:rsidP="00000000" w:rsidRDefault="00000000" w:rsidRPr="00000000" w14:paraId="0000001A">
      <w:pPr>
        <w:numPr>
          <w:ilvl w:val="0"/>
          <w:numId w:val="5"/>
        </w:numPr>
        <w:ind w:left="720" w:hanging="360"/>
        <w:rPr>
          <w:rFonts w:ascii="Crimson Pro" w:cs="Crimson Pro" w:eastAsia="Crimson Pro" w:hAnsi="Crimson Pro"/>
          <w:b w:val="1"/>
          <w:sz w:val="26"/>
          <w:szCs w:val="26"/>
          <w:u w:val="none"/>
        </w:rPr>
      </w:pPr>
      <w:r w:rsidDel="00000000" w:rsidR="00000000" w:rsidRPr="00000000">
        <w:rPr>
          <w:rFonts w:ascii="Crimson Pro" w:cs="Crimson Pro" w:eastAsia="Crimson Pro" w:hAnsi="Crimson Pro"/>
          <w:b w:val="1"/>
          <w:sz w:val="26"/>
          <w:szCs w:val="26"/>
          <w:rtl w:val="0"/>
        </w:rPr>
        <w:t xml:space="preserve">HUD and its partner agencies should </w:t>
      </w:r>
      <w:r w:rsidDel="00000000" w:rsidR="00000000" w:rsidRPr="00000000">
        <w:rPr>
          <w:rFonts w:ascii="Crimson Pro" w:cs="Crimson Pro" w:eastAsia="Crimson Pro" w:hAnsi="Crimson Pro"/>
          <w:b w:val="1"/>
          <w:sz w:val="26"/>
          <w:szCs w:val="26"/>
          <w:rtl w:val="0"/>
        </w:rPr>
        <w:t xml:space="preserve">proactively monitor</w:t>
      </w:r>
      <w:r w:rsidDel="00000000" w:rsidR="00000000" w:rsidRPr="00000000">
        <w:rPr>
          <w:rFonts w:ascii="Crimson Pro" w:cs="Crimson Pro" w:eastAsia="Crimson Pro" w:hAnsi="Crimson Pro"/>
          <w:b w:val="1"/>
          <w:sz w:val="26"/>
          <w:szCs w:val="26"/>
          <w:rtl w:val="0"/>
        </w:rPr>
        <w:t xml:space="preserve"> and investigate housing technologies for discriminatory effects.</w:t>
      </w:r>
    </w:p>
    <w:p w:rsidR="00000000" w:rsidDel="00000000" w:rsidP="00000000" w:rsidRDefault="00000000" w:rsidRPr="00000000" w14:paraId="0000001B">
      <w:pPr>
        <w:rPr>
          <w:rFonts w:ascii="Crimson Pro" w:cs="Crimson Pro" w:eastAsia="Crimson Pro" w:hAnsi="Crimson Pro"/>
          <w:b w:val="1"/>
          <w:sz w:val="26"/>
          <w:szCs w:val="26"/>
        </w:rPr>
      </w:pPr>
      <w:r w:rsidDel="00000000" w:rsidR="00000000" w:rsidRPr="00000000">
        <w:rPr>
          <w:rtl w:val="0"/>
        </w:rPr>
      </w:r>
    </w:p>
    <w:p w:rsidR="00000000" w:rsidDel="00000000" w:rsidP="00000000" w:rsidRDefault="00000000" w:rsidRPr="00000000" w14:paraId="0000001C">
      <w:pPr>
        <w:spacing w:after="240" w:lineRule="auto"/>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Housing discrimination has evolved along with new and expanding uses of technology, such as machine learning-based lending models,</w:t>
      </w:r>
      <w:r w:rsidDel="00000000" w:rsidR="00000000" w:rsidRPr="00000000">
        <w:rPr>
          <w:rFonts w:ascii="Crimson Pro" w:cs="Crimson Pro" w:eastAsia="Crimson Pro" w:hAnsi="Crimson Pro"/>
          <w:sz w:val="26"/>
          <w:szCs w:val="26"/>
          <w:vertAlign w:val="superscript"/>
        </w:rPr>
        <w:footnoteReference w:customMarkFollows="0" w:id="0"/>
      </w:r>
      <w:r w:rsidDel="00000000" w:rsidR="00000000" w:rsidRPr="00000000">
        <w:rPr>
          <w:rFonts w:ascii="Crimson Pro" w:cs="Crimson Pro" w:eastAsia="Crimson Pro" w:hAnsi="Crimson Pro"/>
          <w:sz w:val="26"/>
          <w:szCs w:val="26"/>
          <w:rtl w:val="0"/>
        </w:rPr>
        <w:t xml:space="preserve"> algorithms for determining eligibility for and allocating housing services,</w:t>
      </w:r>
      <w:r w:rsidDel="00000000" w:rsidR="00000000" w:rsidRPr="00000000">
        <w:rPr>
          <w:rFonts w:ascii="Crimson Pro" w:cs="Crimson Pro" w:eastAsia="Crimson Pro" w:hAnsi="Crimson Pro"/>
          <w:sz w:val="26"/>
          <w:szCs w:val="26"/>
          <w:vertAlign w:val="superscript"/>
        </w:rPr>
        <w:footnoteReference w:customMarkFollows="0" w:id="1"/>
      </w:r>
      <w:r w:rsidDel="00000000" w:rsidR="00000000" w:rsidRPr="00000000">
        <w:rPr>
          <w:rFonts w:ascii="Crimson Pro" w:cs="Crimson Pro" w:eastAsia="Crimson Pro" w:hAnsi="Crimson Pro"/>
          <w:sz w:val="26"/>
          <w:szCs w:val="26"/>
          <w:rtl w:val="0"/>
        </w:rPr>
        <w:t xml:space="preserve"> online advertising,</w:t>
      </w:r>
      <w:r w:rsidDel="00000000" w:rsidR="00000000" w:rsidRPr="00000000">
        <w:rPr>
          <w:rFonts w:ascii="Crimson Pro" w:cs="Crimson Pro" w:eastAsia="Crimson Pro" w:hAnsi="Crimson Pro"/>
          <w:sz w:val="26"/>
          <w:szCs w:val="26"/>
          <w:vertAlign w:val="superscript"/>
        </w:rPr>
        <w:footnoteReference w:customMarkFollows="0" w:id="2"/>
      </w:r>
      <w:r w:rsidDel="00000000" w:rsidR="00000000" w:rsidRPr="00000000">
        <w:rPr>
          <w:rFonts w:ascii="Crimson Pro" w:cs="Crimson Pro" w:eastAsia="Crimson Pro" w:hAnsi="Crimson Pro"/>
          <w:sz w:val="26"/>
          <w:szCs w:val="26"/>
          <w:rtl w:val="0"/>
        </w:rPr>
        <w:t xml:space="preserve"> and tenant screening scores.</w:t>
      </w:r>
      <w:r w:rsidDel="00000000" w:rsidR="00000000" w:rsidRPr="00000000">
        <w:rPr>
          <w:rFonts w:ascii="Crimson Pro" w:cs="Crimson Pro" w:eastAsia="Crimson Pro" w:hAnsi="Crimson Pro"/>
          <w:sz w:val="26"/>
          <w:szCs w:val="26"/>
          <w:vertAlign w:val="superscript"/>
        </w:rPr>
        <w:footnoteReference w:customMarkFollows="0" w:id="3"/>
      </w:r>
      <w:r w:rsidDel="00000000" w:rsidR="00000000" w:rsidRPr="00000000">
        <w:rPr>
          <w:rFonts w:ascii="Crimson Pro" w:cs="Crimson Pro" w:eastAsia="Crimson Pro" w:hAnsi="Crimson Pro"/>
          <w:sz w:val="26"/>
          <w:szCs w:val="26"/>
          <w:rtl w:val="0"/>
        </w:rPr>
        <w:t xml:space="preserve"> It is often difficult or impossible for impacted people to learn about housing discrimination in these systems, and HUD cannot rely on individual complaints alone for its fair housing enforcement.</w:t>
      </w:r>
      <w:r w:rsidDel="00000000" w:rsidR="00000000" w:rsidRPr="00000000">
        <w:rPr>
          <w:rFonts w:ascii="Crimson Pro" w:cs="Crimson Pro" w:eastAsia="Crimson Pro" w:hAnsi="Crimson Pro"/>
          <w:sz w:val="26"/>
          <w:szCs w:val="26"/>
          <w:vertAlign w:val="superscript"/>
        </w:rPr>
        <w:footnoteReference w:customMarkFollows="0" w:id="4"/>
      </w:r>
      <w:r w:rsidDel="00000000" w:rsidR="00000000" w:rsidRPr="00000000">
        <w:rPr>
          <w:rFonts w:ascii="Crimson Pro" w:cs="Crimson Pro" w:eastAsia="Crimson Pro" w:hAnsi="Crimson Pro"/>
          <w:sz w:val="26"/>
          <w:szCs w:val="26"/>
          <w:rtl w:val="0"/>
        </w:rPr>
        <w:t xml:space="preserve"> HUD should work with its partner organizations and other stakeholders to develop new testing methods to uncover discrimination in digital systems.</w:t>
      </w:r>
      <w:r w:rsidDel="00000000" w:rsidR="00000000" w:rsidRPr="00000000">
        <w:rPr>
          <w:rFonts w:ascii="Crimson Pro" w:cs="Crimson Pro" w:eastAsia="Crimson Pro" w:hAnsi="Crimson Pro"/>
          <w:sz w:val="26"/>
          <w:szCs w:val="26"/>
          <w:vertAlign w:val="superscript"/>
        </w:rPr>
        <w:footnoteReference w:customMarkFollows="0" w:id="5"/>
      </w:r>
      <w:r w:rsidDel="00000000" w:rsidR="00000000" w:rsidRPr="00000000">
        <w:rPr>
          <w:rFonts w:ascii="Crimson Pro" w:cs="Crimson Pro" w:eastAsia="Crimson Pro" w:hAnsi="Crimson Pro"/>
          <w:sz w:val="26"/>
          <w:szCs w:val="26"/>
          <w:rtl w:val="0"/>
        </w:rPr>
        <w:t xml:space="preserve"> HUD and its partners and funding recipients should publicly report the methodologies, including the specific types of data used in testing, and results of their testing.</w:t>
      </w:r>
    </w:p>
    <w:p w:rsidR="00000000" w:rsidDel="00000000" w:rsidP="00000000" w:rsidRDefault="00000000" w:rsidRPr="00000000" w14:paraId="0000001D">
      <w:pPr>
        <w:spacing w:after="240" w:lineRule="auto"/>
        <w:rPr>
          <w:rFonts w:ascii="Crimson Pro" w:cs="Crimson Pro" w:eastAsia="Crimson Pro" w:hAnsi="Crimson Pro"/>
          <w:b w:val="1"/>
          <w:sz w:val="26"/>
          <w:szCs w:val="26"/>
        </w:rPr>
      </w:pPr>
      <w:r w:rsidDel="00000000" w:rsidR="00000000" w:rsidRPr="00000000">
        <w:rPr>
          <w:rFonts w:ascii="Crimson Pro" w:cs="Crimson Pro" w:eastAsia="Crimson Pro" w:hAnsi="Crimson Pro"/>
          <w:sz w:val="26"/>
          <w:szCs w:val="26"/>
          <w:rtl w:val="0"/>
        </w:rPr>
        <w:t xml:space="preserve">HUD should also issue guidance recommending that covered entities design, test, and audit their models to prevent discriminatory effects and affirmatively further fair housing. These practices should include regularly auditing models for discriminatory effects </w:t>
      </w:r>
      <w:r w:rsidDel="00000000" w:rsidR="00000000" w:rsidRPr="00000000">
        <w:rPr>
          <w:rFonts w:ascii="Crimson Pro" w:cs="Crimson Pro" w:eastAsia="Crimson Pro" w:hAnsi="Crimson Pro"/>
          <w:sz w:val="26"/>
          <w:szCs w:val="26"/>
          <w:rtl w:val="0"/>
        </w:rPr>
        <w:t xml:space="preserve">throughout their conception, design, implementation, and </w:t>
      </w:r>
      <w:r w:rsidDel="00000000" w:rsidR="00000000" w:rsidRPr="00000000">
        <w:rPr>
          <w:rFonts w:ascii="Crimson Pro" w:cs="Crimson Pro" w:eastAsia="Crimson Pro" w:hAnsi="Crimson Pro"/>
          <w:sz w:val="26"/>
          <w:szCs w:val="26"/>
          <w:rtl w:val="0"/>
        </w:rPr>
        <w:t xml:space="preserve">use; proactively looking for and adopting less discriminatory alternatives; assessing whether data used in training technologies is representative and accurate, and that the technologies measure lawful and meaningful attributes and seek to predict valid target outcomes; retaining and documenting in-depth information about the technology, its development and internal auditing sufficient to allow for third party auditing; and publicly releasing internal and external audit reports.</w:t>
      </w:r>
      <w:r w:rsidDel="00000000" w:rsidR="00000000" w:rsidRPr="00000000">
        <w:rPr>
          <w:rFonts w:ascii="Crimson Pro" w:cs="Crimson Pro" w:eastAsia="Crimson Pro" w:hAnsi="Crimson Pro"/>
          <w:sz w:val="26"/>
          <w:szCs w:val="26"/>
          <w:vertAlign w:val="superscript"/>
        </w:rPr>
        <w:footnoteReference w:customMarkFollows="0" w:id="6"/>
      </w:r>
      <w:r w:rsidDel="00000000" w:rsidR="00000000" w:rsidRPr="00000000">
        <w:rPr>
          <w:rFonts w:ascii="Crimson Pro" w:cs="Crimson Pro" w:eastAsia="Crimson Pro" w:hAnsi="Crimson Pro"/>
          <w:sz w:val="26"/>
          <w:szCs w:val="26"/>
          <w:rtl w:val="0"/>
        </w:rPr>
        <w:t xml:space="preserve"> Audits should be designed to assess impacts on all protected classes — including disability, which is the basis for the largest percentage of fair housing complaints — as well as intersectional discrimination.</w:t>
      </w:r>
      <w:r w:rsidDel="00000000" w:rsidR="00000000" w:rsidRPr="00000000">
        <w:rPr>
          <w:rFonts w:ascii="Crimson Pro" w:cs="Crimson Pro" w:eastAsia="Crimson Pro" w:hAnsi="Crimson Pro"/>
          <w:sz w:val="26"/>
          <w:szCs w:val="26"/>
          <w:vertAlign w:val="superscript"/>
        </w:rPr>
        <w:footnoteReference w:customMarkFollows="0" w:id="7"/>
      </w:r>
      <w:r w:rsidDel="00000000" w:rsidR="00000000" w:rsidRPr="00000000">
        <w:rPr>
          <w:rFonts w:ascii="Crimson Pro" w:cs="Crimson Pro" w:eastAsia="Crimson Pro" w:hAnsi="Crimson Pro"/>
          <w:sz w:val="26"/>
          <w:szCs w:val="26"/>
          <w:rtl w:val="0"/>
        </w:rPr>
        <w:t xml:space="preserve"> </w:t>
      </w:r>
      <w:r w:rsidDel="00000000" w:rsidR="00000000" w:rsidRPr="00000000">
        <w:rPr>
          <w:rtl w:val="0"/>
        </w:rPr>
      </w:r>
    </w:p>
    <w:p w:rsidR="00000000" w:rsidDel="00000000" w:rsidP="00000000" w:rsidRDefault="00000000" w:rsidRPr="00000000" w14:paraId="0000001E">
      <w:pPr>
        <w:numPr>
          <w:ilvl w:val="0"/>
          <w:numId w:val="5"/>
        </w:numPr>
        <w:ind w:left="720" w:hanging="360"/>
        <w:rPr>
          <w:rFonts w:ascii="Crimson Pro" w:cs="Crimson Pro" w:eastAsia="Crimson Pro" w:hAnsi="Crimson Pro"/>
          <w:b w:val="1"/>
          <w:sz w:val="26"/>
          <w:szCs w:val="26"/>
          <w:u w:val="none"/>
        </w:rPr>
      </w:pPr>
      <w:r w:rsidDel="00000000" w:rsidR="00000000" w:rsidRPr="00000000">
        <w:rPr>
          <w:rFonts w:ascii="Crimson Pro" w:cs="Crimson Pro" w:eastAsia="Crimson Pro" w:hAnsi="Crimson Pro"/>
          <w:b w:val="1"/>
          <w:sz w:val="26"/>
          <w:szCs w:val="26"/>
          <w:rtl w:val="0"/>
        </w:rPr>
        <w:t xml:space="preserve">HUD should update its Fair Housing Advertising Guidelines to provide examples of online advertising practices that can violate the Fair Housing Act.</w:t>
      </w:r>
    </w:p>
    <w:p w:rsidR="00000000" w:rsidDel="00000000" w:rsidP="00000000" w:rsidRDefault="00000000" w:rsidRPr="00000000" w14:paraId="0000001F">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20">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Advertising platforms conduct ad auctions that determine the actual audience to which an ad will be delivered.</w:t>
      </w:r>
      <w:r w:rsidDel="00000000" w:rsidR="00000000" w:rsidRPr="00000000">
        <w:rPr>
          <w:rFonts w:ascii="Crimson Pro" w:cs="Crimson Pro" w:eastAsia="Crimson Pro" w:hAnsi="Crimson Pro"/>
          <w:sz w:val="26"/>
          <w:szCs w:val="26"/>
          <w:vertAlign w:val="superscript"/>
        </w:rPr>
        <w:footnoteReference w:customMarkFollows="0" w:id="8"/>
      </w:r>
      <w:r w:rsidDel="00000000" w:rsidR="00000000" w:rsidRPr="00000000">
        <w:rPr>
          <w:rFonts w:ascii="Crimson Pro" w:cs="Crimson Pro" w:eastAsia="Crimson Pro" w:hAnsi="Crimson Pro"/>
          <w:sz w:val="26"/>
          <w:szCs w:val="26"/>
          <w:rtl w:val="0"/>
        </w:rPr>
        <w:t xml:space="preserve"> These auctions can result in advertisements for economic</w:t>
      </w:r>
      <w:r w:rsidDel="00000000" w:rsidR="00000000" w:rsidRPr="00000000">
        <w:rPr>
          <w:rFonts w:ascii="Crimson Pro" w:cs="Crimson Pro" w:eastAsia="Crimson Pro" w:hAnsi="Crimson Pro"/>
          <w:sz w:val="26"/>
          <w:szCs w:val="26"/>
          <w:rtl w:val="0"/>
        </w:rPr>
        <w:t xml:space="preserve"> </w:t>
      </w:r>
      <w:r w:rsidDel="00000000" w:rsidR="00000000" w:rsidRPr="00000000">
        <w:rPr>
          <w:rFonts w:ascii="Crimson Pro" w:cs="Crimson Pro" w:eastAsia="Crimson Pro" w:hAnsi="Crimson Pro"/>
          <w:sz w:val="26"/>
          <w:szCs w:val="26"/>
          <w:rtl w:val="0"/>
        </w:rPr>
        <w:t xml:space="preserve">opportunities being systematically delivered to audiences with significant skews on the basis of race, gender, or other protected group.</w:t>
      </w:r>
      <w:r w:rsidDel="00000000" w:rsidR="00000000" w:rsidRPr="00000000">
        <w:rPr>
          <w:rFonts w:ascii="Crimson Pro" w:cs="Crimson Pro" w:eastAsia="Crimson Pro" w:hAnsi="Crimson Pro"/>
          <w:sz w:val="26"/>
          <w:szCs w:val="26"/>
          <w:vertAlign w:val="superscript"/>
        </w:rPr>
        <w:footnoteReference w:customMarkFollows="0" w:id="9"/>
      </w:r>
      <w:r w:rsidDel="00000000" w:rsidR="00000000" w:rsidRPr="00000000">
        <w:rPr>
          <w:rFonts w:ascii="Crimson Pro" w:cs="Crimson Pro" w:eastAsia="Crimson Pro" w:hAnsi="Crimson Pro"/>
          <w:sz w:val="26"/>
          <w:szCs w:val="26"/>
          <w:rtl w:val="0"/>
        </w:rPr>
        <w:t xml:space="preserve"> This can happen even when the advertiser intentionally targets its ad toward a broad audience, such as an entire geographic region.</w:t>
      </w:r>
      <w:r w:rsidDel="00000000" w:rsidR="00000000" w:rsidRPr="00000000">
        <w:rPr>
          <w:rFonts w:ascii="Crimson Pro" w:cs="Crimson Pro" w:eastAsia="Crimson Pro" w:hAnsi="Crimson Pro"/>
          <w:sz w:val="26"/>
          <w:szCs w:val="26"/>
          <w:vertAlign w:val="superscript"/>
        </w:rPr>
        <w:footnoteReference w:customMarkFollows="0" w:id="10"/>
      </w:r>
      <w:r w:rsidDel="00000000" w:rsidR="00000000" w:rsidRPr="00000000">
        <w:rPr>
          <w:rFonts w:ascii="Crimson Pro" w:cs="Crimson Pro" w:eastAsia="Crimson Pro" w:hAnsi="Crimson Pro"/>
          <w:sz w:val="26"/>
          <w:szCs w:val="26"/>
          <w:rtl w:val="0"/>
        </w:rPr>
        <w:t xml:space="preserve"> HUD should clarify that advertising platforms can face liability for violating the Fair Housing Act when their conduct in delivering advertisements — including the design and function of their ad delivery algorithms — disproportionately steers housing opportunities away from protected groups.</w:t>
      </w:r>
      <w:r w:rsidDel="00000000" w:rsidR="00000000" w:rsidRPr="00000000">
        <w:rPr>
          <w:rFonts w:ascii="Crimson Pro" w:cs="Crimson Pro" w:eastAsia="Crimson Pro" w:hAnsi="Crimson Pro"/>
          <w:b w:val="1"/>
          <w:sz w:val="26"/>
          <w:szCs w:val="26"/>
          <w:rtl w:val="0"/>
        </w:rPr>
        <w:br w:type="textWrapping"/>
      </w:r>
      <w:r w:rsidDel="00000000" w:rsidR="00000000" w:rsidRPr="00000000">
        <w:rPr>
          <w:rtl w:val="0"/>
        </w:rPr>
      </w:r>
    </w:p>
    <w:p w:rsidR="00000000" w:rsidDel="00000000" w:rsidP="00000000" w:rsidRDefault="00000000" w:rsidRPr="00000000" w14:paraId="00000021">
      <w:pPr>
        <w:keepNext w:val="1"/>
        <w:keepLines w:val="1"/>
        <w:ind w:left="0" w:firstLine="0"/>
        <w:rPr>
          <w:rFonts w:ascii="Overpass" w:cs="Overpass" w:eastAsia="Overpass" w:hAnsi="Overpass"/>
          <w:b w:val="1"/>
          <w:sz w:val="28"/>
          <w:szCs w:val="28"/>
        </w:rPr>
      </w:pPr>
      <w:r w:rsidDel="00000000" w:rsidR="00000000" w:rsidRPr="00000000">
        <w:rPr>
          <w:rFonts w:ascii="Overpass" w:cs="Overpass" w:eastAsia="Overpass" w:hAnsi="Overpass"/>
          <w:b w:val="1"/>
          <w:sz w:val="28"/>
          <w:szCs w:val="28"/>
          <w:rtl w:val="0"/>
        </w:rPr>
        <w:t xml:space="preserve">2. Help local jurisdictions evaluate and affirmatively further fair housing.</w:t>
      </w:r>
    </w:p>
    <w:p w:rsidR="00000000" w:rsidDel="00000000" w:rsidP="00000000" w:rsidRDefault="00000000" w:rsidRPr="00000000" w14:paraId="00000022">
      <w:pPr>
        <w:keepNext w:val="1"/>
        <w:keepLines w:val="1"/>
        <w:ind w:left="720" w:firstLine="0"/>
        <w:rPr>
          <w:rFonts w:ascii="Overpass" w:cs="Overpass" w:eastAsia="Overpass" w:hAnsi="Overpass"/>
          <w:b w:val="1"/>
          <w:sz w:val="24"/>
          <w:szCs w:val="24"/>
        </w:rPr>
      </w:pPr>
      <w:r w:rsidDel="00000000" w:rsidR="00000000" w:rsidRPr="00000000">
        <w:rPr>
          <w:rtl w:val="0"/>
        </w:rPr>
      </w:r>
    </w:p>
    <w:p w:rsidR="00000000" w:rsidDel="00000000" w:rsidP="00000000" w:rsidRDefault="00000000" w:rsidRPr="00000000" w14:paraId="00000023">
      <w:pPr>
        <w:keepNext w:val="1"/>
        <w:keepLines w:val="1"/>
        <w:numPr>
          <w:ilvl w:val="0"/>
          <w:numId w:val="1"/>
        </w:numPr>
        <w:ind w:left="720" w:hanging="360"/>
        <w:rPr>
          <w:rFonts w:ascii="Crimson Pro" w:cs="Crimson Pro" w:eastAsia="Crimson Pro" w:hAnsi="Crimson Pro"/>
          <w:b w:val="1"/>
          <w:sz w:val="26"/>
          <w:szCs w:val="26"/>
          <w:u w:val="none"/>
        </w:rPr>
      </w:pPr>
      <w:r w:rsidDel="00000000" w:rsidR="00000000" w:rsidRPr="00000000">
        <w:rPr>
          <w:rFonts w:ascii="Crimson Pro" w:cs="Crimson Pro" w:eastAsia="Crimson Pro" w:hAnsi="Crimson Pro"/>
          <w:b w:val="1"/>
          <w:sz w:val="26"/>
          <w:szCs w:val="26"/>
          <w:rtl w:val="0"/>
        </w:rPr>
        <w:t xml:space="preserve">When reinstating the Affirmatively Furthering Fair Housing (AFFH) Rule, HUD should provide guidance to program participants on addressing the impacts of technology on fair housing.</w:t>
      </w:r>
    </w:p>
    <w:p w:rsidR="00000000" w:rsidDel="00000000" w:rsidP="00000000" w:rsidRDefault="00000000" w:rsidRPr="00000000" w14:paraId="00000024">
      <w:pPr>
        <w:rPr>
          <w:rFonts w:ascii="Crimson Pro" w:cs="Crimson Pro" w:eastAsia="Crimson Pro" w:hAnsi="Crimson Pro"/>
          <w:b w:val="1"/>
          <w:sz w:val="26"/>
          <w:szCs w:val="26"/>
        </w:rPr>
      </w:pPr>
      <w:r w:rsidDel="00000000" w:rsidR="00000000" w:rsidRPr="00000000">
        <w:rPr>
          <w:rtl w:val="0"/>
        </w:rPr>
      </w:r>
    </w:p>
    <w:p w:rsidR="00000000" w:rsidDel="00000000" w:rsidP="00000000" w:rsidRDefault="00000000" w:rsidRPr="00000000" w14:paraId="00000025">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Examining the design, use, and outcomes of housing-related technologies must be part of a holistic assessment of fair housing.</w:t>
      </w:r>
      <w:r w:rsidDel="00000000" w:rsidR="00000000" w:rsidRPr="00000000">
        <w:rPr>
          <w:rFonts w:ascii="Crimson Pro" w:cs="Crimson Pro" w:eastAsia="Crimson Pro" w:hAnsi="Crimson Pro"/>
          <w:sz w:val="26"/>
          <w:szCs w:val="26"/>
          <w:vertAlign w:val="superscript"/>
        </w:rPr>
        <w:footnoteReference w:customMarkFollows="0" w:id="11"/>
      </w:r>
      <w:r w:rsidDel="00000000" w:rsidR="00000000" w:rsidRPr="00000000">
        <w:rPr>
          <w:rFonts w:ascii="Crimson Pro" w:cs="Crimson Pro" w:eastAsia="Crimson Pro" w:hAnsi="Crimson Pro"/>
          <w:sz w:val="26"/>
          <w:szCs w:val="26"/>
          <w:rtl w:val="0"/>
        </w:rPr>
        <w:t xml:space="preserve"> These technologies include tenant screening systems, risk assessment models, and housing services allocation models, which embed criteria for determining who has access to housing, as well as surveillance technologies used to monitor tenants, often in low-income housing.</w:t>
      </w:r>
      <w:r w:rsidDel="00000000" w:rsidR="00000000" w:rsidRPr="00000000">
        <w:rPr>
          <w:rFonts w:ascii="Crimson Pro" w:cs="Crimson Pro" w:eastAsia="Crimson Pro" w:hAnsi="Crimson Pro"/>
          <w:sz w:val="26"/>
          <w:szCs w:val="26"/>
          <w:vertAlign w:val="superscript"/>
        </w:rPr>
        <w:footnoteReference w:customMarkFollows="0" w:id="12"/>
      </w:r>
      <w:r w:rsidDel="00000000" w:rsidR="00000000" w:rsidRPr="00000000">
        <w:rPr>
          <w:rtl w:val="0"/>
        </w:rPr>
      </w:r>
    </w:p>
    <w:p w:rsidR="00000000" w:rsidDel="00000000" w:rsidP="00000000" w:rsidRDefault="00000000" w:rsidRPr="00000000" w14:paraId="00000026">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27">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HUD should promulgate AFFH guidance clarifying steps local jurisdictions should take to address the fair housing impacts of systems such as tenant screening, surveillance of tenants, and assessments for determining risk or distributing housing and homeless services. These systems fall under the “contributing factors” that HUD identified in its 2015 AFFH guidance.</w:t>
      </w:r>
      <w:r w:rsidDel="00000000" w:rsidR="00000000" w:rsidRPr="00000000">
        <w:rPr>
          <w:rFonts w:ascii="Crimson Pro" w:cs="Crimson Pro" w:eastAsia="Crimson Pro" w:hAnsi="Crimson Pro"/>
          <w:sz w:val="26"/>
          <w:szCs w:val="26"/>
          <w:vertAlign w:val="superscript"/>
        </w:rPr>
        <w:footnoteReference w:customMarkFollows="0" w:id="13"/>
      </w:r>
      <w:r w:rsidDel="00000000" w:rsidR="00000000" w:rsidRPr="00000000">
        <w:rPr>
          <w:rFonts w:ascii="Crimson Pro" w:cs="Crimson Pro" w:eastAsia="Crimson Pro" w:hAnsi="Crimson Pro"/>
          <w:sz w:val="26"/>
          <w:szCs w:val="26"/>
          <w:rtl w:val="0"/>
        </w:rPr>
        <w:t xml:space="preserve"> For example, HUD should advise jurisdictions to affirmatively further fair housing </w:t>
      </w:r>
      <w:r w:rsidDel="00000000" w:rsidR="00000000" w:rsidRPr="00000000">
        <w:rPr>
          <w:rFonts w:ascii="Crimson Pro" w:cs="Crimson Pro" w:eastAsia="Crimson Pro" w:hAnsi="Crimson Pro"/>
          <w:sz w:val="26"/>
          <w:szCs w:val="26"/>
          <w:rtl w:val="0"/>
        </w:rPr>
        <w:t xml:space="preserve">by strictly</w:t>
      </w:r>
      <w:r w:rsidDel="00000000" w:rsidR="00000000" w:rsidRPr="00000000">
        <w:rPr>
          <w:rFonts w:ascii="Crimson Pro" w:cs="Crimson Pro" w:eastAsia="Crimson Pro" w:hAnsi="Crimson Pro"/>
          <w:sz w:val="26"/>
          <w:szCs w:val="26"/>
          <w:rtl w:val="0"/>
        </w:rPr>
        <w:t xml:space="preserve"> limiting the criteria and information housing providers can use to screen tenants, shielding court records that housing providers unjustifiably use to deny housing (including criminal, landlord-tenant, and other civil court records), and eliminating digital surveillance of tenants. </w:t>
      </w:r>
    </w:p>
    <w:p w:rsidR="00000000" w:rsidDel="00000000" w:rsidP="00000000" w:rsidRDefault="00000000" w:rsidRPr="00000000" w14:paraId="00000028">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29">
      <w:pPr>
        <w:numPr>
          <w:ilvl w:val="0"/>
          <w:numId w:val="1"/>
        </w:numPr>
        <w:ind w:left="720" w:hanging="360"/>
        <w:rPr>
          <w:rFonts w:ascii="Crimson Pro" w:cs="Crimson Pro" w:eastAsia="Crimson Pro" w:hAnsi="Crimson Pro"/>
          <w:b w:val="1"/>
          <w:sz w:val="26"/>
          <w:szCs w:val="26"/>
          <w:u w:val="none"/>
        </w:rPr>
      </w:pPr>
      <w:r w:rsidDel="00000000" w:rsidR="00000000" w:rsidRPr="00000000">
        <w:rPr>
          <w:rFonts w:ascii="Crimson Pro" w:cs="Crimson Pro" w:eastAsia="Crimson Pro" w:hAnsi="Crimson Pro"/>
          <w:b w:val="1"/>
          <w:sz w:val="26"/>
          <w:szCs w:val="26"/>
          <w:rtl w:val="0"/>
        </w:rPr>
        <w:t xml:space="preserve">HUD should continue to update and expand its AFFH datasets to help program participants evaluate access and barriers to fair housing.</w:t>
      </w:r>
    </w:p>
    <w:p w:rsidR="00000000" w:rsidDel="00000000" w:rsidP="00000000" w:rsidRDefault="00000000" w:rsidRPr="00000000" w14:paraId="0000002A">
      <w:pPr>
        <w:rPr>
          <w:rFonts w:ascii="Crimson Pro" w:cs="Crimson Pro" w:eastAsia="Crimson Pro" w:hAnsi="Crimson Pro"/>
          <w:b w:val="1"/>
          <w:sz w:val="26"/>
          <w:szCs w:val="26"/>
        </w:rPr>
      </w:pPr>
      <w:r w:rsidDel="00000000" w:rsidR="00000000" w:rsidRPr="00000000">
        <w:rPr>
          <w:rtl w:val="0"/>
        </w:rPr>
      </w:r>
    </w:p>
    <w:p w:rsidR="00000000" w:rsidDel="00000000" w:rsidP="00000000" w:rsidRDefault="00000000" w:rsidRPr="00000000" w14:paraId="0000002B">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To supplement the data HUD already provides for fair housing assessments,</w:t>
      </w:r>
      <w:r w:rsidDel="00000000" w:rsidR="00000000" w:rsidRPr="00000000">
        <w:rPr>
          <w:rFonts w:ascii="Crimson Pro" w:cs="Crimson Pro" w:eastAsia="Crimson Pro" w:hAnsi="Crimson Pro"/>
          <w:sz w:val="26"/>
          <w:szCs w:val="26"/>
          <w:vertAlign w:val="superscript"/>
        </w:rPr>
        <w:footnoteReference w:customMarkFollows="0" w:id="14"/>
      </w:r>
      <w:r w:rsidDel="00000000" w:rsidR="00000000" w:rsidRPr="00000000">
        <w:rPr>
          <w:rFonts w:ascii="Crimson Pro" w:cs="Crimson Pro" w:eastAsia="Crimson Pro" w:hAnsi="Crimson Pro"/>
          <w:sz w:val="26"/>
          <w:szCs w:val="26"/>
          <w:rtl w:val="0"/>
        </w:rPr>
        <w:t xml:space="preserve"> HUD should partner with local organizations and agencies to make more local data available to its program participants. This data should include demographics and patterns of segregation; housing data such as property characteristics and affordability; zoning and other land use data; environmental burdens and hazards; disability access and services; and data on access to services and opportunities such as education, employment, social services, childcare, transportation, and healthcare.</w:t>
      </w:r>
      <w:r w:rsidDel="00000000" w:rsidR="00000000" w:rsidRPr="00000000">
        <w:rPr>
          <w:rFonts w:ascii="Crimson Pro" w:cs="Crimson Pro" w:eastAsia="Crimson Pro" w:hAnsi="Crimson Pro"/>
          <w:sz w:val="26"/>
          <w:szCs w:val="26"/>
          <w:vertAlign w:val="superscript"/>
        </w:rPr>
        <w:footnoteReference w:customMarkFollows="0" w:id="15"/>
      </w:r>
      <w:r w:rsidDel="00000000" w:rsidR="00000000" w:rsidRPr="00000000">
        <w:rPr>
          <w:rFonts w:ascii="Crimson Pro" w:cs="Crimson Pro" w:eastAsia="Crimson Pro" w:hAnsi="Crimson Pro"/>
          <w:sz w:val="26"/>
          <w:szCs w:val="26"/>
          <w:rtl w:val="0"/>
        </w:rPr>
        <w:t xml:space="preserve"> HUD should broadly share datasets provided by local jurisdictions.</w:t>
      </w:r>
    </w:p>
    <w:p w:rsidR="00000000" w:rsidDel="00000000" w:rsidP="00000000" w:rsidRDefault="00000000" w:rsidRPr="00000000" w14:paraId="0000002C">
      <w:pPr>
        <w:rPr>
          <w:rFonts w:ascii="Crimson Pro" w:cs="Crimson Pro" w:eastAsia="Crimson Pro" w:hAnsi="Crimson Pro"/>
          <w:sz w:val="24"/>
          <w:szCs w:val="24"/>
        </w:rPr>
      </w:pPr>
      <w:r w:rsidDel="00000000" w:rsidR="00000000" w:rsidRPr="00000000">
        <w:rPr>
          <w:rtl w:val="0"/>
        </w:rPr>
      </w:r>
    </w:p>
    <w:p w:rsidR="00000000" w:rsidDel="00000000" w:rsidP="00000000" w:rsidRDefault="00000000" w:rsidRPr="00000000" w14:paraId="0000002D">
      <w:pPr>
        <w:ind w:left="0" w:firstLine="0"/>
        <w:rPr>
          <w:rFonts w:ascii="Overpass" w:cs="Overpass" w:eastAsia="Overpass" w:hAnsi="Overpass"/>
          <w:b w:val="1"/>
          <w:sz w:val="28"/>
          <w:szCs w:val="28"/>
        </w:rPr>
      </w:pPr>
      <w:r w:rsidDel="00000000" w:rsidR="00000000" w:rsidRPr="00000000">
        <w:rPr>
          <w:rFonts w:ascii="Overpass" w:cs="Overpass" w:eastAsia="Overpass" w:hAnsi="Overpass"/>
          <w:b w:val="1"/>
          <w:sz w:val="28"/>
          <w:szCs w:val="28"/>
          <w:rtl w:val="0"/>
        </w:rPr>
        <w:t xml:space="preserve">3. </w:t>
      </w:r>
      <w:r w:rsidDel="00000000" w:rsidR="00000000" w:rsidRPr="00000000">
        <w:rPr>
          <w:rFonts w:ascii="Overpass" w:cs="Overpass" w:eastAsia="Overpass" w:hAnsi="Overpass"/>
          <w:b w:val="1"/>
          <w:sz w:val="28"/>
          <w:szCs w:val="28"/>
          <w:rtl w:val="0"/>
        </w:rPr>
        <w:t xml:space="preserve">End</w:t>
      </w:r>
      <w:r w:rsidDel="00000000" w:rsidR="00000000" w:rsidRPr="00000000">
        <w:rPr>
          <w:rFonts w:ascii="Overpass" w:cs="Overpass" w:eastAsia="Overpass" w:hAnsi="Overpass"/>
          <w:b w:val="1"/>
          <w:sz w:val="28"/>
          <w:szCs w:val="28"/>
          <w:rtl w:val="0"/>
        </w:rPr>
        <w:t xml:space="preserve"> discriminatory background screening as a barrier to housing.</w:t>
      </w:r>
    </w:p>
    <w:p w:rsidR="00000000" w:rsidDel="00000000" w:rsidP="00000000" w:rsidRDefault="00000000" w:rsidRPr="00000000" w14:paraId="0000002E">
      <w:pPr>
        <w:rPr>
          <w:rFonts w:ascii="Overpass" w:cs="Overpass" w:eastAsia="Overpass" w:hAnsi="Overpass"/>
          <w:b w:val="1"/>
          <w:sz w:val="24"/>
          <w:szCs w:val="24"/>
        </w:rPr>
      </w:pPr>
      <w:r w:rsidDel="00000000" w:rsidR="00000000" w:rsidRPr="00000000">
        <w:rPr>
          <w:rtl w:val="0"/>
        </w:rPr>
      </w:r>
    </w:p>
    <w:p w:rsidR="00000000" w:rsidDel="00000000" w:rsidP="00000000" w:rsidRDefault="00000000" w:rsidRPr="00000000" w14:paraId="0000002F">
      <w:pPr>
        <w:numPr>
          <w:ilvl w:val="0"/>
          <w:numId w:val="2"/>
        </w:numPr>
        <w:ind w:left="720" w:hanging="360"/>
        <w:rPr>
          <w:rFonts w:ascii="Crimson Pro" w:cs="Crimson Pro" w:eastAsia="Crimson Pro" w:hAnsi="Crimson Pro"/>
          <w:b w:val="1"/>
          <w:sz w:val="26"/>
          <w:szCs w:val="26"/>
          <w:u w:val="none"/>
        </w:rPr>
      </w:pPr>
      <w:r w:rsidDel="00000000" w:rsidR="00000000" w:rsidRPr="00000000">
        <w:rPr>
          <w:rFonts w:ascii="Crimson Pro" w:cs="Crimson Pro" w:eastAsia="Crimson Pro" w:hAnsi="Crimson Pro"/>
          <w:b w:val="1"/>
          <w:sz w:val="26"/>
          <w:szCs w:val="26"/>
          <w:rtl w:val="0"/>
        </w:rPr>
        <w:t xml:space="preserve">HUD should expand its 2016 guidance on the use of criminal records in tenant screening under the Fair Housing Act. </w:t>
      </w:r>
    </w:p>
    <w:p w:rsidR="00000000" w:rsidDel="00000000" w:rsidP="00000000" w:rsidRDefault="00000000" w:rsidRPr="00000000" w14:paraId="00000030">
      <w:pPr>
        <w:rPr>
          <w:rFonts w:ascii="Crimson Pro" w:cs="Crimson Pro" w:eastAsia="Crimson Pro" w:hAnsi="Crimson Pro"/>
          <w:b w:val="1"/>
          <w:sz w:val="26"/>
          <w:szCs w:val="26"/>
        </w:rPr>
      </w:pPr>
      <w:r w:rsidDel="00000000" w:rsidR="00000000" w:rsidRPr="00000000">
        <w:rPr>
          <w:rtl w:val="0"/>
        </w:rPr>
      </w:r>
    </w:p>
    <w:p w:rsidR="00000000" w:rsidDel="00000000" w:rsidP="00000000" w:rsidRDefault="00000000" w:rsidRPr="00000000" w14:paraId="00000031">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HUD’s 2016 guidance acknowledged that criminal record screening tends to have a disparate impact on Black and Latinx renters, and clarified that blanket rejections of potential tenants based on the existence of a criminal record are not justifiable under the Fair Housing Act.</w:t>
      </w:r>
      <w:r w:rsidDel="00000000" w:rsidR="00000000" w:rsidRPr="00000000">
        <w:rPr>
          <w:rFonts w:ascii="Crimson Pro" w:cs="Crimson Pro" w:eastAsia="Crimson Pro" w:hAnsi="Crimson Pro"/>
          <w:sz w:val="26"/>
          <w:szCs w:val="26"/>
          <w:vertAlign w:val="superscript"/>
        </w:rPr>
        <w:footnoteReference w:customMarkFollows="0" w:id="16"/>
      </w:r>
      <w:r w:rsidDel="00000000" w:rsidR="00000000" w:rsidRPr="00000000">
        <w:rPr>
          <w:rFonts w:ascii="Crimson Pro" w:cs="Crimson Pro" w:eastAsia="Crimson Pro" w:hAnsi="Crimson Pro"/>
          <w:sz w:val="26"/>
          <w:szCs w:val="26"/>
          <w:rtl w:val="0"/>
        </w:rPr>
        <w:t xml:space="preserve"> HUD’s guidance states that “[a] housing provider must [] be able to prove through reliable evidence that its policy or practice of making housing decisions based on criminal history actually assists in protecting resident safety and/or property,” and that a</w:t>
      </w:r>
      <w:r w:rsidDel="00000000" w:rsidR="00000000" w:rsidRPr="00000000">
        <w:rPr>
          <w:rFonts w:ascii="Crimson Pro" w:cs="Crimson Pro" w:eastAsia="Crimson Pro" w:hAnsi="Crimson Pro"/>
          <w:sz w:val="26"/>
          <w:szCs w:val="26"/>
          <w:rtl w:val="0"/>
        </w:rPr>
        <w:t xml:space="preserve"> tenant screening policy that fails to consider the nature, severity, and recency of the alleged conduct is unlikely to satisfy this standard.</w:t>
      </w:r>
      <w:r w:rsidDel="00000000" w:rsidR="00000000" w:rsidRPr="00000000">
        <w:rPr>
          <w:rFonts w:ascii="Crimson Pro" w:cs="Crimson Pro" w:eastAsia="Crimson Pro" w:hAnsi="Crimson Pro"/>
          <w:sz w:val="26"/>
          <w:szCs w:val="26"/>
          <w:vertAlign w:val="superscript"/>
        </w:rPr>
        <w:footnoteReference w:customMarkFollows="0" w:id="17"/>
      </w:r>
      <w:r w:rsidDel="00000000" w:rsidR="00000000" w:rsidRPr="00000000">
        <w:rPr>
          <w:rFonts w:ascii="Crimson Pro" w:cs="Crimson Pro" w:eastAsia="Crimson Pro" w:hAnsi="Crimson Pro"/>
          <w:sz w:val="26"/>
          <w:szCs w:val="26"/>
          <w:rtl w:val="0"/>
        </w:rPr>
        <w:t xml:space="preserve"> However, criminal records remain a formidable barrier to housing, and several jurisdictions have “crime-free housing” ordinances requiring housing providers to conduct criminal background checks and reject or evict tenants for alleged criminal conduct.</w:t>
      </w:r>
      <w:r w:rsidDel="00000000" w:rsidR="00000000" w:rsidRPr="00000000">
        <w:rPr>
          <w:rFonts w:ascii="Crimson Pro" w:cs="Crimson Pro" w:eastAsia="Crimson Pro" w:hAnsi="Crimson Pro"/>
          <w:sz w:val="26"/>
          <w:szCs w:val="26"/>
          <w:vertAlign w:val="superscript"/>
        </w:rPr>
        <w:footnoteReference w:customMarkFollows="0" w:id="18"/>
      </w:r>
      <w:r w:rsidDel="00000000" w:rsidR="00000000" w:rsidRPr="00000000">
        <w:rPr>
          <w:rtl w:val="0"/>
        </w:rPr>
      </w:r>
    </w:p>
    <w:p w:rsidR="00000000" w:rsidDel="00000000" w:rsidP="00000000" w:rsidRDefault="00000000" w:rsidRPr="00000000" w14:paraId="00000032">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33">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HUD should revise its 2016 guidance to further clarify the steps housing providers must take to ensure that any criminal record screening is necessary and narrowly tailored to serve a substantial, legitimate, nondiscriminatory interest. In revising its guidance, HUD should look to the growing number of states and cities that have adopted fair chance housing policies limiting housing providers’ ability to request and consider criminal records.</w:t>
      </w:r>
      <w:r w:rsidDel="00000000" w:rsidR="00000000" w:rsidRPr="00000000">
        <w:rPr>
          <w:rFonts w:ascii="Crimson Pro" w:cs="Crimson Pro" w:eastAsia="Crimson Pro" w:hAnsi="Crimson Pro"/>
          <w:sz w:val="26"/>
          <w:szCs w:val="26"/>
          <w:vertAlign w:val="superscript"/>
        </w:rPr>
        <w:footnoteReference w:customMarkFollows="0" w:id="19"/>
      </w:r>
      <w:r w:rsidDel="00000000" w:rsidR="00000000" w:rsidRPr="00000000">
        <w:rPr>
          <w:rFonts w:ascii="Crimson Pro" w:cs="Crimson Pro" w:eastAsia="Crimson Pro" w:hAnsi="Crimson Pro"/>
          <w:sz w:val="26"/>
          <w:szCs w:val="26"/>
          <w:rtl w:val="0"/>
        </w:rPr>
        <w:t xml:space="preserve"> Fair chance housing laws often prohibit housing providers from inquiring into an applicant’s criminal history before extending a conditional offer of housing, limit the types of conviction records housing providers can consider, and require the housing provider to consider several factors in evaluating the applicant’s record, such as the applicant’s age at the time of the alleged offense, whether the alleged offense arose from an applicant’s disability, and the degree to which the alleged offense, if it re-occurred, would impact the safety of other tenants. These laws also require housing providers to consider other mitigating factors, such as recommendations from community members or participation in education, employment, or other programming. </w:t>
      </w:r>
    </w:p>
    <w:p w:rsidR="00000000" w:rsidDel="00000000" w:rsidP="00000000" w:rsidRDefault="00000000" w:rsidRPr="00000000" w14:paraId="00000034">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35">
      <w:pPr>
        <w:numPr>
          <w:ilvl w:val="0"/>
          <w:numId w:val="2"/>
        </w:numPr>
        <w:ind w:left="720" w:hanging="360"/>
        <w:rPr>
          <w:rFonts w:ascii="Crimson Pro" w:cs="Crimson Pro" w:eastAsia="Crimson Pro" w:hAnsi="Crimson Pro"/>
          <w:b w:val="1"/>
          <w:sz w:val="26"/>
          <w:szCs w:val="26"/>
          <w:u w:val="none"/>
        </w:rPr>
      </w:pPr>
      <w:r w:rsidDel="00000000" w:rsidR="00000000" w:rsidRPr="00000000">
        <w:rPr>
          <w:rFonts w:ascii="Crimson Pro" w:cs="Crimson Pro" w:eastAsia="Crimson Pro" w:hAnsi="Crimson Pro"/>
          <w:b w:val="1"/>
          <w:sz w:val="26"/>
          <w:szCs w:val="26"/>
          <w:rtl w:val="0"/>
        </w:rPr>
        <w:t xml:space="preserve">HUD should extend its 2016 guidance to cover the use of eviction records, credit reports, and other unjustifiably discriminatory records to screen applicants for rental housing.</w:t>
      </w:r>
    </w:p>
    <w:p w:rsidR="00000000" w:rsidDel="00000000" w:rsidP="00000000" w:rsidRDefault="00000000" w:rsidRPr="00000000" w14:paraId="00000036">
      <w:pPr>
        <w:rPr>
          <w:rFonts w:ascii="Crimson Pro" w:cs="Crimson Pro" w:eastAsia="Crimson Pro" w:hAnsi="Crimson Pro"/>
          <w:b w:val="1"/>
          <w:sz w:val="26"/>
          <w:szCs w:val="26"/>
        </w:rPr>
      </w:pPr>
      <w:r w:rsidDel="00000000" w:rsidR="00000000" w:rsidRPr="00000000">
        <w:rPr>
          <w:rtl w:val="0"/>
        </w:rPr>
      </w:r>
    </w:p>
    <w:p w:rsidR="00000000" w:rsidDel="00000000" w:rsidP="00000000" w:rsidRDefault="00000000" w:rsidRPr="00000000" w14:paraId="00000037">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Landlord-tenant court records and credit reports also represent pervasive barriers to housing and reflect systemic patterns of discrimination. For example, housing providers evict Black tenants, and Black women in particular, at staggeringly disproportionate rates.</w:t>
      </w:r>
      <w:r w:rsidDel="00000000" w:rsidR="00000000" w:rsidRPr="00000000">
        <w:rPr>
          <w:rFonts w:ascii="Crimson Pro" w:cs="Crimson Pro" w:eastAsia="Crimson Pro" w:hAnsi="Crimson Pro"/>
          <w:sz w:val="26"/>
          <w:szCs w:val="26"/>
          <w:vertAlign w:val="superscript"/>
        </w:rPr>
        <w:footnoteReference w:customMarkFollows="0" w:id="20"/>
      </w:r>
      <w:r w:rsidDel="00000000" w:rsidR="00000000" w:rsidRPr="00000000">
        <w:rPr>
          <w:rFonts w:ascii="Crimson Pro" w:cs="Crimson Pro" w:eastAsia="Crimson Pro" w:hAnsi="Crimson Pro"/>
          <w:sz w:val="26"/>
          <w:szCs w:val="26"/>
          <w:rtl w:val="0"/>
        </w:rPr>
        <w:t xml:space="preserve"> The vast majority of eviction records do not represent a proven allegation of failure to pay rent or other lease violation. About three million evictions are filed in the U.S. each year, but few end in a judgment in favor of the landlord at trial. Cases often end in dismissals for lack of good cause to evict the tenant, or agreements in which the tenant stays and continues paying rent.</w:t>
      </w:r>
      <w:r w:rsidDel="00000000" w:rsidR="00000000" w:rsidRPr="00000000">
        <w:rPr>
          <w:rFonts w:ascii="Crimson Pro" w:cs="Crimson Pro" w:eastAsia="Crimson Pro" w:hAnsi="Crimson Pro"/>
          <w:sz w:val="26"/>
          <w:szCs w:val="26"/>
          <w:vertAlign w:val="superscript"/>
        </w:rPr>
        <w:footnoteReference w:customMarkFollows="0" w:id="21"/>
      </w:r>
      <w:r w:rsidDel="00000000" w:rsidR="00000000" w:rsidRPr="00000000">
        <w:rPr>
          <w:rFonts w:ascii="Crimson Pro" w:cs="Crimson Pro" w:eastAsia="Crimson Pro" w:hAnsi="Crimson Pro"/>
          <w:sz w:val="26"/>
          <w:szCs w:val="26"/>
          <w:rtl w:val="0"/>
        </w:rPr>
        <w:t xml:space="preserve"> Eviction filings also commonly result in default judgments because tenants lack the notice and/or resources to defend themselves.</w:t>
      </w:r>
      <w:r w:rsidDel="00000000" w:rsidR="00000000" w:rsidRPr="00000000">
        <w:rPr>
          <w:rFonts w:ascii="Crimson Pro" w:cs="Crimson Pro" w:eastAsia="Crimson Pro" w:hAnsi="Crimson Pro"/>
          <w:sz w:val="26"/>
          <w:szCs w:val="26"/>
          <w:vertAlign w:val="superscript"/>
        </w:rPr>
        <w:footnoteReference w:customMarkFollows="0" w:id="22"/>
      </w:r>
      <w:r w:rsidDel="00000000" w:rsidR="00000000" w:rsidRPr="00000000">
        <w:rPr>
          <w:rFonts w:ascii="Crimson Pro" w:cs="Crimson Pro" w:eastAsia="Crimson Pro" w:hAnsi="Crimson Pro"/>
          <w:sz w:val="26"/>
          <w:szCs w:val="26"/>
          <w:rtl w:val="0"/>
        </w:rPr>
        <w:t xml:space="preserve"> Thus, much like arrest records, the vast majority of eviction records are not reliable indicators of tenant suitability or risk.</w:t>
      </w:r>
      <w:r w:rsidDel="00000000" w:rsidR="00000000" w:rsidRPr="00000000">
        <w:rPr>
          <w:rFonts w:ascii="Crimson Pro" w:cs="Crimson Pro" w:eastAsia="Crimson Pro" w:hAnsi="Crimson Pro"/>
          <w:sz w:val="26"/>
          <w:szCs w:val="26"/>
          <w:vertAlign w:val="superscript"/>
        </w:rPr>
        <w:footnoteReference w:customMarkFollows="0" w:id="23"/>
      </w:r>
      <w:r w:rsidDel="00000000" w:rsidR="00000000" w:rsidRPr="00000000">
        <w:rPr>
          <w:rFonts w:ascii="Crimson Pro" w:cs="Crimson Pro" w:eastAsia="Crimson Pro" w:hAnsi="Crimson Pro"/>
          <w:sz w:val="26"/>
          <w:szCs w:val="26"/>
          <w:rtl w:val="0"/>
        </w:rPr>
        <w:t xml:space="preserve"> Yet, landlords often use the existence of any eviction record, including simple filings, as a reason to disqualify potential tenants.</w:t>
      </w:r>
    </w:p>
    <w:p w:rsidR="00000000" w:rsidDel="00000000" w:rsidP="00000000" w:rsidRDefault="00000000" w:rsidRPr="00000000" w14:paraId="00000038">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39">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HUD should clarify that any screening policy or practice based on eviction records, other civil court records, or credit reports must be demonstrably necessary and narrowly tailored to achieve a substantial, legitimate, nondiscriminatory interest. In revising its guidance, HUD should consider the growing number of jurisdictions that have adopted limits on the consideration of eviction records and credit reports in tenant screening.</w:t>
      </w:r>
      <w:r w:rsidDel="00000000" w:rsidR="00000000" w:rsidRPr="00000000">
        <w:rPr>
          <w:rFonts w:ascii="Crimson Pro" w:cs="Crimson Pro" w:eastAsia="Crimson Pro" w:hAnsi="Crimson Pro"/>
          <w:sz w:val="26"/>
          <w:szCs w:val="26"/>
          <w:vertAlign w:val="superscript"/>
        </w:rPr>
        <w:footnoteReference w:customMarkFollows="0" w:id="24"/>
      </w:r>
      <w:r w:rsidDel="00000000" w:rsidR="00000000" w:rsidRPr="00000000">
        <w:rPr>
          <w:rFonts w:ascii="Crimson Pro" w:cs="Crimson Pro" w:eastAsia="Crimson Pro" w:hAnsi="Crimson Pro"/>
          <w:sz w:val="26"/>
          <w:szCs w:val="26"/>
          <w:rtl w:val="0"/>
        </w:rPr>
        <w:t xml:space="preserve"> For example, some policies prohibit housing providers from taking adverse action based on an eviction record </w:t>
      </w:r>
      <w:r w:rsidDel="00000000" w:rsidR="00000000" w:rsidRPr="00000000">
        <w:rPr>
          <w:rFonts w:ascii="Crimson Pro" w:cs="Crimson Pro" w:eastAsia="Crimson Pro" w:hAnsi="Crimson Pro"/>
          <w:sz w:val="26"/>
          <w:szCs w:val="26"/>
          <w:rtl w:val="0"/>
        </w:rPr>
        <w:t xml:space="preserve">that did not result in a judgment in favor of the plaintiff at trial</w:t>
      </w:r>
      <w:r w:rsidDel="00000000" w:rsidR="00000000" w:rsidRPr="00000000">
        <w:rPr>
          <w:rFonts w:ascii="Crimson Pro" w:cs="Crimson Pro" w:eastAsia="Crimson Pro" w:hAnsi="Crimson Pro"/>
          <w:sz w:val="26"/>
          <w:szCs w:val="26"/>
          <w:rtl w:val="0"/>
        </w:rPr>
        <w:t xml:space="preserve">; prohibit the denial of housing based on a credit score; and/or prohibit the consideration of credit history for applicants using rental assistance, such as vouchers.</w:t>
      </w:r>
      <w:r w:rsidDel="00000000" w:rsidR="00000000" w:rsidRPr="00000000">
        <w:rPr>
          <w:rFonts w:ascii="Crimson Pro" w:cs="Crimson Pro" w:eastAsia="Crimson Pro" w:hAnsi="Crimson Pro"/>
          <w:sz w:val="26"/>
          <w:szCs w:val="26"/>
          <w:vertAlign w:val="superscript"/>
        </w:rPr>
        <w:footnoteReference w:customMarkFollows="0" w:id="25"/>
      </w:r>
      <w:r w:rsidDel="00000000" w:rsidR="00000000" w:rsidRPr="00000000">
        <w:rPr>
          <w:rtl w:val="0"/>
        </w:rPr>
      </w:r>
    </w:p>
    <w:p w:rsidR="00000000" w:rsidDel="00000000" w:rsidP="00000000" w:rsidRDefault="00000000" w:rsidRPr="00000000" w14:paraId="0000003A">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3B">
      <w:pPr>
        <w:numPr>
          <w:ilvl w:val="0"/>
          <w:numId w:val="2"/>
        </w:numPr>
        <w:ind w:left="720" w:hanging="360"/>
        <w:rPr>
          <w:rFonts w:ascii="Crimson Pro" w:cs="Crimson Pro" w:eastAsia="Crimson Pro" w:hAnsi="Crimson Pro"/>
          <w:b w:val="1"/>
          <w:sz w:val="26"/>
          <w:szCs w:val="26"/>
          <w:u w:val="none"/>
        </w:rPr>
      </w:pPr>
      <w:r w:rsidDel="00000000" w:rsidR="00000000" w:rsidRPr="00000000">
        <w:rPr>
          <w:rFonts w:ascii="Crimson Pro" w:cs="Crimson Pro" w:eastAsia="Crimson Pro" w:hAnsi="Crimson Pro"/>
          <w:b w:val="1"/>
          <w:sz w:val="26"/>
          <w:szCs w:val="26"/>
          <w:rtl w:val="0"/>
        </w:rPr>
        <w:t xml:space="preserve">The FTC and CFPB should publish updated guidance for tenant screening companies on complying with the Fair Credit Reporting Act (FCRA).</w:t>
      </w:r>
    </w:p>
    <w:p w:rsidR="00000000" w:rsidDel="00000000" w:rsidP="00000000" w:rsidRDefault="00000000" w:rsidRPr="00000000" w14:paraId="0000003C">
      <w:pPr>
        <w:rPr>
          <w:rFonts w:ascii="Crimson Pro" w:cs="Crimson Pro" w:eastAsia="Crimson Pro" w:hAnsi="Crimson Pro"/>
          <w:b w:val="1"/>
          <w:sz w:val="26"/>
          <w:szCs w:val="26"/>
        </w:rPr>
      </w:pPr>
      <w:r w:rsidDel="00000000" w:rsidR="00000000" w:rsidRPr="00000000">
        <w:rPr>
          <w:rtl w:val="0"/>
        </w:rPr>
      </w:r>
    </w:p>
    <w:p w:rsidR="00000000" w:rsidDel="00000000" w:rsidP="00000000" w:rsidRDefault="00000000" w:rsidRPr="00000000" w14:paraId="0000003D">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The guidance</w:t>
      </w:r>
      <w:r w:rsidDel="00000000" w:rsidR="00000000" w:rsidRPr="00000000">
        <w:rPr>
          <w:rFonts w:ascii="Crimson Pro" w:cs="Crimson Pro" w:eastAsia="Crimson Pro" w:hAnsi="Crimson Pro"/>
          <w:sz w:val="26"/>
          <w:szCs w:val="26"/>
          <w:vertAlign w:val="superscript"/>
        </w:rPr>
        <w:footnoteReference w:customMarkFollows="0" w:id="26"/>
      </w:r>
      <w:r w:rsidDel="00000000" w:rsidR="00000000" w:rsidRPr="00000000">
        <w:rPr>
          <w:rFonts w:ascii="Crimson Pro" w:cs="Crimson Pro" w:eastAsia="Crimson Pro" w:hAnsi="Crimson Pro"/>
          <w:sz w:val="26"/>
          <w:szCs w:val="26"/>
          <w:rtl w:val="0"/>
        </w:rPr>
        <w:t xml:space="preserve"> should elaborate on practices that constitute failure to reasonably assure accuracy under the FCRA, including but not limited to:</w:t>
      </w:r>
    </w:p>
    <w:p w:rsidR="00000000" w:rsidDel="00000000" w:rsidP="00000000" w:rsidRDefault="00000000" w:rsidRPr="00000000" w14:paraId="0000003E">
      <w:pPr>
        <w:numPr>
          <w:ilvl w:val="0"/>
          <w:numId w:val="4"/>
        </w:numPr>
        <w:ind w:left="720" w:hanging="36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Failing to verify the accuracy of public records matched to an applicant;</w:t>
      </w:r>
      <w:r w:rsidDel="00000000" w:rsidR="00000000" w:rsidRPr="00000000">
        <w:rPr>
          <w:rFonts w:ascii="Crimson Pro" w:cs="Crimson Pro" w:eastAsia="Crimson Pro" w:hAnsi="Crimson Pro"/>
          <w:sz w:val="26"/>
          <w:szCs w:val="26"/>
          <w:vertAlign w:val="superscript"/>
        </w:rPr>
        <w:footnoteReference w:customMarkFollows="0" w:id="27"/>
      </w:r>
      <w:r w:rsidDel="00000000" w:rsidR="00000000" w:rsidRPr="00000000">
        <w:rPr>
          <w:rtl w:val="0"/>
        </w:rPr>
      </w:r>
    </w:p>
    <w:p w:rsidR="00000000" w:rsidDel="00000000" w:rsidP="00000000" w:rsidRDefault="00000000" w:rsidRPr="00000000" w14:paraId="0000003F">
      <w:pPr>
        <w:numPr>
          <w:ilvl w:val="0"/>
          <w:numId w:val="4"/>
        </w:numPr>
        <w:ind w:left="720" w:hanging="36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Using unreliable or overly loose matching criteria, such as name-only searches, to match applicants with public records;</w:t>
      </w:r>
    </w:p>
    <w:p w:rsidR="00000000" w:rsidDel="00000000" w:rsidP="00000000" w:rsidRDefault="00000000" w:rsidRPr="00000000" w14:paraId="00000040">
      <w:pPr>
        <w:numPr>
          <w:ilvl w:val="0"/>
          <w:numId w:val="4"/>
        </w:numPr>
        <w:ind w:left="720" w:hanging="36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Furnishing court records that do not include an accurate date and disposition (or incorporating such records into a score or recommendation); and</w:t>
      </w:r>
    </w:p>
    <w:p w:rsidR="00000000" w:rsidDel="00000000" w:rsidP="00000000" w:rsidRDefault="00000000" w:rsidRPr="00000000" w14:paraId="00000041">
      <w:pPr>
        <w:numPr>
          <w:ilvl w:val="0"/>
          <w:numId w:val="4"/>
        </w:numPr>
        <w:ind w:left="720" w:hanging="360"/>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Reporting sealed or expunged records.</w:t>
      </w:r>
    </w:p>
    <w:p w:rsidR="00000000" w:rsidDel="00000000" w:rsidP="00000000" w:rsidRDefault="00000000" w:rsidRPr="00000000" w14:paraId="00000042">
      <w:pPr>
        <w:ind w:left="720" w:firstLine="0"/>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43">
      <w:pPr>
        <w:numPr>
          <w:ilvl w:val="0"/>
          <w:numId w:val="2"/>
        </w:numPr>
        <w:ind w:left="720" w:hanging="360"/>
        <w:rPr>
          <w:rFonts w:ascii="Crimson Pro" w:cs="Crimson Pro" w:eastAsia="Crimson Pro" w:hAnsi="Crimson Pro"/>
          <w:b w:val="1"/>
          <w:sz w:val="26"/>
          <w:szCs w:val="26"/>
          <w:u w:val="none"/>
        </w:rPr>
      </w:pPr>
      <w:r w:rsidDel="00000000" w:rsidR="00000000" w:rsidRPr="00000000">
        <w:rPr>
          <w:rFonts w:ascii="Crimson Pro" w:cs="Crimson Pro" w:eastAsia="Crimson Pro" w:hAnsi="Crimson Pro"/>
          <w:b w:val="1"/>
          <w:sz w:val="26"/>
          <w:szCs w:val="26"/>
          <w:rtl w:val="0"/>
        </w:rPr>
        <w:t xml:space="preserve">The </w:t>
      </w:r>
      <w:r w:rsidDel="00000000" w:rsidR="00000000" w:rsidRPr="00000000">
        <w:rPr>
          <w:rFonts w:ascii="Crimson Pro" w:cs="Crimson Pro" w:eastAsia="Crimson Pro" w:hAnsi="Crimson Pro"/>
          <w:b w:val="1"/>
          <w:sz w:val="26"/>
          <w:szCs w:val="26"/>
          <w:rtl w:val="0"/>
        </w:rPr>
        <w:t xml:space="preserve">FTC</w:t>
      </w:r>
      <w:r w:rsidDel="00000000" w:rsidR="00000000" w:rsidRPr="00000000">
        <w:rPr>
          <w:rFonts w:ascii="Crimson Pro" w:cs="Crimson Pro" w:eastAsia="Crimson Pro" w:hAnsi="Crimson Pro"/>
          <w:b w:val="1"/>
          <w:sz w:val="26"/>
          <w:szCs w:val="26"/>
          <w:rtl w:val="0"/>
        </w:rPr>
        <w:t xml:space="preserve"> should conduct a 6(b) investigation into the tenant screening industry to study how companies obtain, match, and report on information such as criminal records, eviction and other civil court records, and credit and financial information. </w:t>
      </w:r>
    </w:p>
    <w:p w:rsidR="00000000" w:rsidDel="00000000" w:rsidP="00000000" w:rsidRDefault="00000000" w:rsidRPr="00000000" w14:paraId="00000044">
      <w:pPr>
        <w:rPr>
          <w:rFonts w:ascii="Crimson Pro" w:cs="Crimson Pro" w:eastAsia="Crimson Pro" w:hAnsi="Crimson Pro"/>
          <w:sz w:val="26"/>
          <w:szCs w:val="26"/>
        </w:rPr>
      </w:pPr>
      <w:r w:rsidDel="00000000" w:rsidR="00000000" w:rsidRPr="00000000">
        <w:rPr>
          <w:rtl w:val="0"/>
        </w:rPr>
      </w:r>
    </w:p>
    <w:p w:rsidR="00000000" w:rsidDel="00000000" w:rsidP="00000000" w:rsidRDefault="00000000" w:rsidRPr="00000000" w14:paraId="00000045">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The study should also investigate how companies compile tenant screening reports and scores.</w:t>
      </w:r>
      <w:r w:rsidDel="00000000" w:rsidR="00000000" w:rsidRPr="00000000">
        <w:rPr>
          <w:rFonts w:ascii="Crimson Pro" w:cs="Crimson Pro" w:eastAsia="Crimson Pro" w:hAnsi="Crimson Pro"/>
          <w:sz w:val="26"/>
          <w:szCs w:val="26"/>
          <w:vertAlign w:val="superscript"/>
        </w:rPr>
        <w:footnoteReference w:customMarkFollows="0" w:id="28"/>
      </w:r>
      <w:r w:rsidDel="00000000" w:rsidR="00000000" w:rsidRPr="00000000">
        <w:rPr>
          <w:rFonts w:ascii="Crimson Pro" w:cs="Crimson Pro" w:eastAsia="Crimson Pro" w:hAnsi="Crimson Pro"/>
          <w:sz w:val="26"/>
          <w:szCs w:val="26"/>
          <w:rtl w:val="0"/>
        </w:rPr>
        <w:t xml:space="preserve"> The Commission should seek to provide guidance on tenant screening practices that may be unfair or deceptive under Section 5 or that constitute unlawful discrimination. HUD, the FTC, and the CFPB should collaborate to ensure that the findings of this study support and are incorporated into HUD’s guidance and enforcement activities.</w:t>
      </w:r>
    </w:p>
    <w:p w:rsidR="00000000" w:rsidDel="00000000" w:rsidP="00000000" w:rsidRDefault="00000000" w:rsidRPr="00000000" w14:paraId="00000046">
      <w:pPr>
        <w:rPr>
          <w:rFonts w:ascii="Crimson Pro" w:cs="Crimson Pro" w:eastAsia="Crimson Pro" w:hAnsi="Crimson Pro"/>
          <w:sz w:val="24"/>
          <w:szCs w:val="24"/>
        </w:rPr>
      </w:pPr>
      <w:r w:rsidDel="00000000" w:rsidR="00000000" w:rsidRPr="00000000">
        <w:rPr>
          <w:rtl w:val="0"/>
        </w:rPr>
      </w:r>
    </w:p>
    <w:p w:rsidR="00000000" w:rsidDel="00000000" w:rsidP="00000000" w:rsidRDefault="00000000" w:rsidRPr="00000000" w14:paraId="00000047">
      <w:pPr>
        <w:ind w:left="0" w:firstLine="0"/>
        <w:rPr>
          <w:rFonts w:ascii="Overpass" w:cs="Overpass" w:eastAsia="Overpass" w:hAnsi="Overpass"/>
          <w:b w:val="1"/>
          <w:sz w:val="28"/>
          <w:szCs w:val="28"/>
        </w:rPr>
      </w:pPr>
      <w:r w:rsidDel="00000000" w:rsidR="00000000" w:rsidRPr="00000000">
        <w:rPr>
          <w:rFonts w:ascii="Overpass" w:cs="Overpass" w:eastAsia="Overpass" w:hAnsi="Overpass"/>
          <w:b w:val="1"/>
          <w:sz w:val="28"/>
          <w:szCs w:val="28"/>
          <w:rtl w:val="0"/>
        </w:rPr>
        <w:t xml:space="preserve">4. Proactively enforce against discriminatory uses of technology and records in housing decisions.</w:t>
      </w:r>
    </w:p>
    <w:p w:rsidR="00000000" w:rsidDel="00000000" w:rsidP="00000000" w:rsidRDefault="00000000" w:rsidRPr="00000000" w14:paraId="00000048">
      <w:pPr>
        <w:rPr>
          <w:rFonts w:ascii="Overpass" w:cs="Overpass" w:eastAsia="Overpass" w:hAnsi="Overpass"/>
          <w:sz w:val="28"/>
          <w:szCs w:val="28"/>
        </w:rPr>
      </w:pPr>
      <w:r w:rsidDel="00000000" w:rsidR="00000000" w:rsidRPr="00000000">
        <w:rPr>
          <w:rtl w:val="0"/>
        </w:rPr>
      </w:r>
    </w:p>
    <w:p w:rsidR="00000000" w:rsidDel="00000000" w:rsidP="00000000" w:rsidRDefault="00000000" w:rsidRPr="00000000" w14:paraId="00000049">
      <w:pPr>
        <w:numPr>
          <w:ilvl w:val="0"/>
          <w:numId w:val="3"/>
        </w:numPr>
        <w:spacing w:after="240" w:lineRule="auto"/>
        <w:ind w:left="720" w:hanging="360"/>
        <w:rPr>
          <w:rFonts w:ascii="Crimson Pro" w:cs="Crimson Pro" w:eastAsia="Crimson Pro" w:hAnsi="Crimson Pro"/>
          <w:b w:val="1"/>
          <w:sz w:val="26"/>
          <w:szCs w:val="26"/>
          <w:u w:val="none"/>
        </w:rPr>
      </w:pPr>
      <w:r w:rsidDel="00000000" w:rsidR="00000000" w:rsidRPr="00000000">
        <w:rPr>
          <w:rFonts w:ascii="Crimson Pro" w:cs="Crimson Pro" w:eastAsia="Crimson Pro" w:hAnsi="Crimson Pro"/>
          <w:b w:val="1"/>
          <w:sz w:val="26"/>
          <w:szCs w:val="26"/>
          <w:rtl w:val="0"/>
        </w:rPr>
        <w:t xml:space="preserve">HUD should use its authority to file formal complaints and initiate investigations and/or compliance actions where evidence of discrimination resulting from use of housing-related technologies is uncovered. This should include situations where there is </w:t>
      </w:r>
      <w:r w:rsidDel="00000000" w:rsidR="00000000" w:rsidRPr="00000000">
        <w:rPr>
          <w:rFonts w:ascii="Crimson Pro" w:cs="Crimson Pro" w:eastAsia="Crimson Pro" w:hAnsi="Crimson Pro"/>
          <w:b w:val="1"/>
          <w:sz w:val="26"/>
          <w:szCs w:val="26"/>
          <w:rtl w:val="0"/>
        </w:rPr>
        <w:t xml:space="preserve">evidence of unjustifiable use of criminal records, eviction filings and other civil court records, credit reports and other criteria that may have a discriminatory impact.</w:t>
      </w:r>
      <w:r w:rsidDel="00000000" w:rsidR="00000000" w:rsidRPr="00000000">
        <w:rPr>
          <w:rtl w:val="0"/>
        </w:rPr>
      </w:r>
    </w:p>
    <w:p w:rsidR="00000000" w:rsidDel="00000000" w:rsidP="00000000" w:rsidRDefault="00000000" w:rsidRPr="00000000" w14:paraId="0000004A">
      <w:pPr>
        <w:spacing w:after="240" w:lineRule="auto"/>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HUD</w:t>
      </w:r>
      <w:r w:rsidDel="00000000" w:rsidR="00000000" w:rsidRPr="00000000">
        <w:rPr>
          <w:rFonts w:ascii="Crimson Pro" w:cs="Crimson Pro" w:eastAsia="Crimson Pro" w:hAnsi="Crimson Pro"/>
          <w:sz w:val="26"/>
          <w:szCs w:val="26"/>
          <w:rtl w:val="0"/>
        </w:rPr>
        <w:t xml:space="preserve"> should develop systems to ensure full and consistent compliance with, and implementation of, the recommendations set forth in this memorandum by its nationally administered programs in the Office of Housing (including the Federal Housing Administration), the Office of Public and Indian Housing, and other programs under HUD’s authority. HUD should review guidance and other rules and policies issued by these offices and programs to ensure that they reflect a meaningful commitment to protecting against discrimination through background screening, online advertising practices, and other housing-related technologies. </w:t>
      </w:r>
    </w:p>
    <w:p w:rsidR="00000000" w:rsidDel="00000000" w:rsidP="00000000" w:rsidRDefault="00000000" w:rsidRPr="00000000" w14:paraId="0000004B">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The DOJ Housing and Enforcement Section should also use its authority to intiate investigations and file suit </w:t>
      </w:r>
      <w:r w:rsidDel="00000000" w:rsidR="00000000" w:rsidRPr="00000000">
        <w:rPr>
          <w:rFonts w:ascii="Crimson Pro" w:cs="Crimson Pro" w:eastAsia="Crimson Pro" w:hAnsi="Crimson Pro"/>
          <w:sz w:val="26"/>
          <w:szCs w:val="26"/>
          <w:rtl w:val="0"/>
        </w:rPr>
        <w:t xml:space="preserve">where evidence of discrimination resulting from use of housing-related technologies is uncovered. Similarly, this should include situations where there is </w:t>
      </w:r>
      <w:r w:rsidDel="00000000" w:rsidR="00000000" w:rsidRPr="00000000">
        <w:rPr>
          <w:rFonts w:ascii="Crimson Pro" w:cs="Crimson Pro" w:eastAsia="Crimson Pro" w:hAnsi="Crimson Pro"/>
          <w:sz w:val="26"/>
          <w:szCs w:val="26"/>
          <w:rtl w:val="0"/>
        </w:rPr>
        <w:t xml:space="preserve">evidence of unjustifiable use of criminal records, eviction filings and other civil court records, credit reports and other criteria that may have a discriminatory impact.</w:t>
      </w:r>
      <w:r w:rsidDel="00000000" w:rsidR="00000000" w:rsidRPr="00000000">
        <w:rPr>
          <w:rtl w:val="0"/>
        </w:rPr>
      </w:r>
    </w:p>
    <w:p w:rsidR="00000000" w:rsidDel="00000000" w:rsidP="00000000" w:rsidRDefault="00000000" w:rsidRPr="00000000" w14:paraId="0000004C">
      <w:pPr>
        <w:rPr>
          <w:rFonts w:ascii="Overpass" w:cs="Overpass" w:eastAsia="Overpass" w:hAnsi="Overpass"/>
          <w:sz w:val="28"/>
          <w:szCs w:val="28"/>
        </w:rPr>
      </w:pPr>
      <w:r w:rsidDel="00000000" w:rsidR="00000000" w:rsidRPr="00000000">
        <w:rPr>
          <w:rtl w:val="0"/>
        </w:rPr>
      </w:r>
    </w:p>
    <w:p w:rsidR="00000000" w:rsidDel="00000000" w:rsidP="00000000" w:rsidRDefault="00000000" w:rsidRPr="00000000" w14:paraId="0000004D">
      <w:pPr>
        <w:rPr>
          <w:rFonts w:ascii="Crimson Pro" w:cs="Crimson Pro" w:eastAsia="Crimson Pro" w:hAnsi="Crimson Pro"/>
          <w:sz w:val="26"/>
          <w:szCs w:val="26"/>
        </w:rPr>
      </w:pPr>
      <w:r w:rsidDel="00000000" w:rsidR="00000000" w:rsidRPr="00000000">
        <w:rPr>
          <w:rFonts w:ascii="Crimson Pro" w:cs="Crimson Pro" w:eastAsia="Crimson Pro" w:hAnsi="Crimson Pro"/>
          <w:sz w:val="26"/>
          <w:szCs w:val="26"/>
          <w:rtl w:val="0"/>
        </w:rPr>
        <w:t xml:space="preserve">Thank you for your attention to these matters. For any questions or further discussion, please contact Natasha Duarte, Senior Policy Analyst, Upturn, at 202-677-2359 or natasha@upturn.org.</w:t>
      </w:r>
    </w:p>
    <w:p w:rsidR="00000000" w:rsidDel="00000000" w:rsidP="00000000" w:rsidRDefault="00000000" w:rsidRPr="00000000" w14:paraId="0000004E">
      <w:pPr>
        <w:rPr>
          <w:rFonts w:ascii="Crimson Pro" w:cs="Crimson Pro" w:eastAsia="Crimson Pro" w:hAnsi="Crimson Pro"/>
          <w:sz w:val="26"/>
          <w:szCs w:val="26"/>
          <w:shd w:fill="fff2cc" w:val="clear"/>
        </w:rPr>
      </w:pPr>
      <w:r w:rsidDel="00000000" w:rsidR="00000000" w:rsidRPr="00000000">
        <w:rPr>
          <w:rtl w:val="0"/>
        </w:rPr>
      </w:r>
    </w:p>
    <w:p w:rsidR="00000000" w:rsidDel="00000000" w:rsidP="00000000" w:rsidRDefault="00000000" w:rsidRPr="00000000" w14:paraId="0000004F">
      <w:pPr>
        <w:rPr>
          <w:rFonts w:ascii="Crimson Pro" w:cs="Crimson Pro" w:eastAsia="Crimson Pro" w:hAnsi="Crimson Pro"/>
          <w:sz w:val="26"/>
          <w:szCs w:val="26"/>
          <w:shd w:fill="fff2cc" w:val="clear"/>
        </w:rPr>
      </w:pPr>
      <w:r w:rsidDel="00000000" w:rsidR="00000000" w:rsidRPr="00000000">
        <w:rPr>
          <w:rtl w:val="0"/>
        </w:rPr>
      </w:r>
    </w:p>
    <w:p w:rsidR="00000000" w:rsidDel="00000000" w:rsidP="00000000" w:rsidRDefault="00000000" w:rsidRPr="00000000" w14:paraId="00000050">
      <w:pPr>
        <w:rPr>
          <w:rFonts w:ascii="Overpass" w:cs="Overpass" w:eastAsia="Overpass" w:hAnsi="Overpass"/>
          <w:sz w:val="28"/>
          <w:szCs w:val="28"/>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verpas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rimson Pr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right"/>
      <w:rPr>
        <w:rFonts w:ascii="Crimson Pro" w:cs="Crimson Pro" w:eastAsia="Crimson Pro" w:hAnsi="Crimson Pro"/>
      </w:rPr>
    </w:pPr>
    <w:r w:rsidDel="00000000" w:rsidR="00000000" w:rsidRPr="00000000">
      <w:rPr>
        <w:rFonts w:ascii="Crimson Pro" w:cs="Crimson Pro" w:eastAsia="Crimson Pro" w:hAnsi="Crimson Pro"/>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2">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Jennifer Miller, Is an Algorithm Less Racist than a Loan Officer?, N.Y. Times, Sept. 18, 2020, </w:t>
      </w:r>
      <w:r w:rsidDel="00000000" w:rsidR="00000000" w:rsidRPr="00000000">
        <w:rPr>
          <w:rFonts w:ascii="Crimson Pro" w:cs="Crimson Pro" w:eastAsia="Crimson Pro" w:hAnsi="Crimson Pro"/>
          <w:sz w:val="20"/>
          <w:szCs w:val="20"/>
          <w:rtl w:val="0"/>
        </w:rPr>
        <w:t xml:space="preserve">https://www.nytimes.com/2020/09/18/business/digital-mortgages.html?searchResultPosition=1</w:t>
      </w:r>
      <w:r w:rsidDel="00000000" w:rsidR="00000000" w:rsidRPr="00000000">
        <w:rPr>
          <w:rFonts w:ascii="Crimson Pro" w:cs="Crimson Pro" w:eastAsia="Crimson Pro" w:hAnsi="Crimson Pro"/>
          <w:sz w:val="20"/>
          <w:szCs w:val="20"/>
          <w:rtl w:val="0"/>
        </w:rPr>
        <w:t xml:space="preserve">.</w:t>
      </w:r>
    </w:p>
  </w:footnote>
  <w:footnote w:id="1">
    <w:p w:rsidR="00000000" w:rsidDel="00000000" w:rsidP="00000000" w:rsidRDefault="00000000" w:rsidRPr="00000000" w14:paraId="00000053">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Catriona Wilkey et al., Coordinated Entry Systems: Racial Equity Analysis of Assessment Data, Oct. 2019, </w:t>
      </w:r>
      <w:r w:rsidDel="00000000" w:rsidR="00000000" w:rsidRPr="00000000">
        <w:rPr>
          <w:rFonts w:ascii="Crimson Pro" w:cs="Crimson Pro" w:eastAsia="Crimson Pro" w:hAnsi="Crimson Pro"/>
          <w:sz w:val="20"/>
          <w:szCs w:val="20"/>
          <w:rtl w:val="0"/>
        </w:rPr>
        <w:t xml:space="preserve">https://c4innovates.com/wp-content/uploads/2019/10/CES_Racial_Equity-Analysis_Oct112019.pdf</w:t>
      </w:r>
      <w:r w:rsidDel="00000000" w:rsidR="00000000" w:rsidRPr="00000000">
        <w:rPr>
          <w:rFonts w:ascii="Crimson Pro" w:cs="Crimson Pro" w:eastAsia="Crimson Pro" w:hAnsi="Crimson Pro"/>
          <w:sz w:val="20"/>
          <w:szCs w:val="20"/>
          <w:rtl w:val="0"/>
        </w:rPr>
        <w:t xml:space="preserve">.</w:t>
      </w:r>
    </w:p>
  </w:footnote>
  <w:footnote w:id="2">
    <w:p w:rsidR="00000000" w:rsidDel="00000000" w:rsidP="00000000" w:rsidRDefault="00000000" w:rsidRPr="00000000" w14:paraId="00000054">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Charge of Discrimination, HUD v. Facebook, </w:t>
      </w:r>
      <w:r w:rsidDel="00000000" w:rsidR="00000000" w:rsidRPr="00000000">
        <w:rPr>
          <w:rFonts w:ascii="Crimson Pro" w:cs="Crimson Pro" w:eastAsia="Crimson Pro" w:hAnsi="Crimson Pro"/>
          <w:sz w:val="20"/>
          <w:szCs w:val="20"/>
          <w:rtl w:val="0"/>
        </w:rPr>
        <w:t xml:space="preserve">https://www.hud.gov/sites/dfiles/Main/documents/HUD_v_Facebook.pdf</w:t>
      </w:r>
      <w:r w:rsidDel="00000000" w:rsidR="00000000" w:rsidRPr="00000000">
        <w:rPr>
          <w:rFonts w:ascii="Crimson Pro" w:cs="Crimson Pro" w:eastAsia="Crimson Pro" w:hAnsi="Crimson Pro"/>
          <w:sz w:val="20"/>
          <w:szCs w:val="20"/>
          <w:rtl w:val="0"/>
        </w:rPr>
        <w:t xml:space="preserve">; Muhammad Ali et al., Discrimination Through Optimization: How Facebook’s Ad Delivery Can Lead to Skewed Outcomes, 2019, </w:t>
      </w:r>
      <w:r w:rsidDel="00000000" w:rsidR="00000000" w:rsidRPr="00000000">
        <w:rPr>
          <w:rFonts w:ascii="Crimson Pro" w:cs="Crimson Pro" w:eastAsia="Crimson Pro" w:hAnsi="Crimson Pro"/>
          <w:sz w:val="20"/>
          <w:szCs w:val="20"/>
          <w:rtl w:val="0"/>
        </w:rPr>
        <w:t xml:space="preserve">https://arxiv.org/abs/1904.02095</w:t>
      </w:r>
      <w:r w:rsidDel="00000000" w:rsidR="00000000" w:rsidRPr="00000000">
        <w:rPr>
          <w:rFonts w:ascii="Crimson Pro" w:cs="Crimson Pro" w:eastAsia="Crimson Pro" w:hAnsi="Crimson Pro"/>
          <w:sz w:val="20"/>
          <w:szCs w:val="20"/>
          <w:rtl w:val="0"/>
        </w:rPr>
        <w:t xml:space="preserve">.</w:t>
      </w:r>
    </w:p>
  </w:footnote>
  <w:footnote w:id="3">
    <w:p w:rsidR="00000000" w:rsidDel="00000000" w:rsidP="00000000" w:rsidRDefault="00000000" w:rsidRPr="00000000" w14:paraId="00000055">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Kaveh Waddell, How Tenant Screening Reports Make it Hard for People to Bounce Back from Tough Times, Consumer Reports, March 11, 2021, </w:t>
      </w:r>
      <w:r w:rsidDel="00000000" w:rsidR="00000000" w:rsidRPr="00000000">
        <w:rPr>
          <w:rFonts w:ascii="Crimson Pro" w:cs="Crimson Pro" w:eastAsia="Crimson Pro" w:hAnsi="Crimson Pro"/>
          <w:sz w:val="20"/>
          <w:szCs w:val="20"/>
          <w:rtl w:val="0"/>
        </w:rPr>
        <w:t xml:space="preserve">https://www.consumerreports.org/algorithmic-bias/tenant-screening-reports-make-it-hard-to-bounce-back-from-tough-times/</w:t>
      </w:r>
      <w:r w:rsidDel="00000000" w:rsidR="00000000" w:rsidRPr="00000000">
        <w:rPr>
          <w:rFonts w:ascii="Crimson Pro" w:cs="Crimson Pro" w:eastAsia="Crimson Pro" w:hAnsi="Crimson Pro"/>
          <w:sz w:val="20"/>
          <w:szCs w:val="20"/>
          <w:rtl w:val="0"/>
        </w:rPr>
        <w:t xml:space="preserve">.</w:t>
      </w:r>
    </w:p>
  </w:footnote>
  <w:footnote w:id="4">
    <w:p w:rsidR="00000000" w:rsidDel="00000000" w:rsidP="00000000" w:rsidRDefault="00000000" w:rsidRPr="00000000" w14:paraId="00000056">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Claudia Aranda, Urban Institute, Fighting Housing Discrimination in 2019, </w:t>
      </w:r>
      <w:r w:rsidDel="00000000" w:rsidR="00000000" w:rsidRPr="00000000">
        <w:rPr>
          <w:rFonts w:ascii="Crimson Pro" w:cs="Crimson Pro" w:eastAsia="Crimson Pro" w:hAnsi="Crimson Pro"/>
          <w:sz w:val="20"/>
          <w:szCs w:val="20"/>
          <w:rtl w:val="0"/>
        </w:rPr>
        <w:t xml:space="preserve">https://www.urban.org/urban-wire/fighting-housing-discrimination-2019</w:t>
      </w:r>
      <w:r w:rsidDel="00000000" w:rsidR="00000000" w:rsidRPr="00000000">
        <w:rPr>
          <w:rFonts w:ascii="Crimson Pro" w:cs="Crimson Pro" w:eastAsia="Crimson Pro" w:hAnsi="Crimson Pro"/>
          <w:sz w:val="20"/>
          <w:szCs w:val="20"/>
          <w:rtl w:val="0"/>
        </w:rPr>
        <w:t xml:space="preserve">.</w:t>
      </w:r>
    </w:p>
  </w:footnote>
  <w:footnote w:id="5">
    <w:p w:rsidR="00000000" w:rsidDel="00000000" w:rsidP="00000000" w:rsidRDefault="00000000" w:rsidRPr="00000000" w14:paraId="00000057">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 </w:t>
      </w:r>
      <w:r w:rsidDel="00000000" w:rsidR="00000000" w:rsidRPr="00000000">
        <w:rPr>
          <w:rFonts w:ascii="Crimson Pro" w:cs="Crimson Pro" w:eastAsia="Crimson Pro" w:hAnsi="Crimson Pro"/>
          <w:sz w:val="20"/>
          <w:szCs w:val="20"/>
          <w:rtl w:val="0"/>
        </w:rPr>
        <w:t xml:space="preserve">Claudia L. Aranda, Urban Institute, Statement Before the Subcomm. on Transportation, Housing &amp; Urban Development of the H. Comm. on Appropriations, Feb. 27, 2019, </w:t>
      </w:r>
      <w:r w:rsidDel="00000000" w:rsidR="00000000" w:rsidRPr="00000000">
        <w:rPr>
          <w:rFonts w:ascii="Crimson Pro" w:cs="Crimson Pro" w:eastAsia="Crimson Pro" w:hAnsi="Crimson Pro"/>
          <w:sz w:val="20"/>
          <w:szCs w:val="20"/>
          <w:rtl w:val="0"/>
        </w:rPr>
        <w:t xml:space="preserve">https://www.urban.org/sites/default/files/publication/99836/housing_discrimination_in_america_-_claudia_aranda.pdf</w:t>
      </w:r>
      <w:r w:rsidDel="00000000" w:rsidR="00000000" w:rsidRPr="00000000">
        <w:rPr>
          <w:rFonts w:ascii="Crimson Pro" w:cs="Crimson Pro" w:eastAsia="Crimson Pro" w:hAnsi="Crimson Pro"/>
          <w:sz w:val="20"/>
          <w:szCs w:val="20"/>
          <w:rtl w:val="0"/>
        </w:rPr>
        <w:t xml:space="preserve">.</w:t>
      </w:r>
    </w:p>
  </w:footnote>
  <w:footnote w:id="6">
    <w:p w:rsidR="00000000" w:rsidDel="00000000" w:rsidP="00000000" w:rsidRDefault="00000000" w:rsidRPr="00000000" w14:paraId="00000058">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In developing guidance, HUD should review existing literature and frameworks such as Dillon Reisman et al., AI Now, Algorithmic Impact Assessments: A Practical Framework for Public Agency Accountability, Apr. 2018, </w:t>
      </w:r>
      <w:r w:rsidDel="00000000" w:rsidR="00000000" w:rsidRPr="00000000">
        <w:rPr>
          <w:rFonts w:ascii="Crimson Pro" w:cs="Crimson Pro" w:eastAsia="Crimson Pro" w:hAnsi="Crimson Pro"/>
          <w:sz w:val="20"/>
          <w:szCs w:val="20"/>
          <w:rtl w:val="0"/>
        </w:rPr>
        <w:t xml:space="preserve">https://ainowinstitute.org/aiareport2018.pdf</w:t>
      </w:r>
      <w:r w:rsidDel="00000000" w:rsidR="00000000" w:rsidRPr="00000000">
        <w:rPr>
          <w:rFonts w:ascii="Crimson Pro" w:cs="Crimson Pro" w:eastAsia="Crimson Pro" w:hAnsi="Crimson Pro"/>
          <w:sz w:val="20"/>
          <w:szCs w:val="20"/>
          <w:rtl w:val="0"/>
        </w:rPr>
        <w:t xml:space="preserve">; Wilkey et al., </w:t>
      </w:r>
      <w:r w:rsidDel="00000000" w:rsidR="00000000" w:rsidRPr="00000000">
        <w:rPr>
          <w:rFonts w:ascii="Crimson Pro" w:cs="Crimson Pro" w:eastAsia="Crimson Pro" w:hAnsi="Crimson Pro"/>
          <w:i w:val="1"/>
          <w:sz w:val="20"/>
          <w:szCs w:val="20"/>
          <w:rtl w:val="0"/>
        </w:rPr>
        <w:t xml:space="preserve">supra</w:t>
      </w:r>
      <w:r w:rsidDel="00000000" w:rsidR="00000000" w:rsidRPr="00000000">
        <w:rPr>
          <w:rFonts w:ascii="Crimson Pro" w:cs="Crimson Pro" w:eastAsia="Crimson Pro" w:hAnsi="Crimson Pro"/>
          <w:sz w:val="20"/>
          <w:szCs w:val="20"/>
          <w:rtl w:val="0"/>
        </w:rPr>
        <w:t xml:space="preserve"> note 2</w:t>
      </w:r>
      <w:r w:rsidDel="00000000" w:rsidR="00000000" w:rsidRPr="00000000">
        <w:rPr>
          <w:rFonts w:ascii="Crimson Pro" w:cs="Crimson Pro" w:eastAsia="Crimson Pro" w:hAnsi="Crimson Pro"/>
          <w:sz w:val="20"/>
          <w:szCs w:val="20"/>
          <w:rtl w:val="0"/>
        </w:rPr>
        <w:t xml:space="preserve">; Inioluwa Deborah Raji, et al., Closing the AI Accountability Gap: Defining an End-to-End Framework for Internal Algorithmic Auditing, 2020, </w:t>
      </w:r>
      <w:r w:rsidDel="00000000" w:rsidR="00000000" w:rsidRPr="00000000">
        <w:rPr>
          <w:rFonts w:ascii="Crimson Pro" w:cs="Crimson Pro" w:eastAsia="Crimson Pro" w:hAnsi="Crimson Pro"/>
          <w:sz w:val="20"/>
          <w:szCs w:val="20"/>
          <w:rtl w:val="0"/>
        </w:rPr>
        <w:t xml:space="preserve">https://arxiv.org/abs/2001.00973</w:t>
      </w:r>
      <w:r w:rsidDel="00000000" w:rsidR="00000000" w:rsidRPr="00000000">
        <w:rPr>
          <w:rFonts w:ascii="Crimson Pro" w:cs="Crimson Pro" w:eastAsia="Crimson Pro" w:hAnsi="Crimson Pro"/>
          <w:sz w:val="20"/>
          <w:szCs w:val="20"/>
          <w:rtl w:val="0"/>
        </w:rPr>
        <w:t xml:space="preserve">; Timnit Gebru et al., Datasheets for Datasets, 2020, </w:t>
      </w:r>
      <w:r w:rsidDel="00000000" w:rsidR="00000000" w:rsidRPr="00000000">
        <w:rPr>
          <w:rFonts w:ascii="Crimson Pro" w:cs="Crimson Pro" w:eastAsia="Crimson Pro" w:hAnsi="Crimson Pro"/>
          <w:sz w:val="20"/>
          <w:szCs w:val="20"/>
          <w:rtl w:val="0"/>
        </w:rPr>
        <w:t xml:space="preserve">https://arxiv.org/abs/1803.09010</w:t>
      </w:r>
      <w:r w:rsidDel="00000000" w:rsidR="00000000" w:rsidRPr="00000000">
        <w:rPr>
          <w:rFonts w:ascii="Crimson Pro" w:cs="Crimson Pro" w:eastAsia="Crimson Pro" w:hAnsi="Crimson Pro"/>
          <w:sz w:val="20"/>
          <w:szCs w:val="20"/>
          <w:rtl w:val="0"/>
        </w:rPr>
        <w:t xml:space="preserve">; Margaret Mitchell et al., Model Cards for Model Reporting, 2019, </w:t>
      </w:r>
      <w:r w:rsidDel="00000000" w:rsidR="00000000" w:rsidRPr="00000000">
        <w:rPr>
          <w:rFonts w:ascii="Crimson Pro" w:cs="Crimson Pro" w:eastAsia="Crimson Pro" w:hAnsi="Crimson Pro"/>
          <w:sz w:val="20"/>
          <w:szCs w:val="20"/>
          <w:rtl w:val="0"/>
        </w:rPr>
        <w:t xml:space="preserve">https://arxiv.org/abs/1810.03993</w:t>
      </w:r>
      <w:r w:rsidDel="00000000" w:rsidR="00000000" w:rsidRPr="00000000">
        <w:rPr>
          <w:rFonts w:ascii="Crimson Pro" w:cs="Crimson Pro" w:eastAsia="Crimson Pro" w:hAnsi="Crimson Pro"/>
          <w:sz w:val="20"/>
          <w:szCs w:val="20"/>
          <w:rtl w:val="0"/>
        </w:rPr>
        <w:t xml:space="preserve">; Office of the Comptroller of the Currency, Supervisory Guidance on Model Risk Management, Apr. 2011, </w:t>
      </w:r>
      <w:r w:rsidDel="00000000" w:rsidR="00000000" w:rsidRPr="00000000">
        <w:rPr>
          <w:rFonts w:ascii="Crimson Pro" w:cs="Crimson Pro" w:eastAsia="Crimson Pro" w:hAnsi="Crimson Pro"/>
          <w:sz w:val="20"/>
          <w:szCs w:val="20"/>
          <w:rtl w:val="0"/>
        </w:rPr>
        <w:t xml:space="preserve">https://www.occ.gov/news-issuances/bulletins/2011/bulletin-2011-12a.pdf</w:t>
      </w:r>
      <w:r w:rsidDel="00000000" w:rsidR="00000000" w:rsidRPr="00000000">
        <w:rPr>
          <w:rFonts w:ascii="Crimson Pro" w:cs="Crimson Pro" w:eastAsia="Crimson Pro" w:hAnsi="Crimson Pro"/>
          <w:sz w:val="20"/>
          <w:szCs w:val="20"/>
          <w:rtl w:val="0"/>
        </w:rPr>
        <w:t xml:space="preserve">. </w:t>
      </w:r>
    </w:p>
  </w:footnote>
  <w:footnote w:id="7">
    <w:p w:rsidR="00000000" w:rsidDel="00000000" w:rsidP="00000000" w:rsidRDefault="00000000" w:rsidRPr="00000000" w14:paraId="00000059">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w:t>
      </w:r>
      <w:r w:rsidDel="00000000" w:rsidR="00000000" w:rsidRPr="00000000">
        <w:rPr>
          <w:rFonts w:ascii="Crimson Pro" w:cs="Crimson Pro" w:eastAsia="Crimson Pro" w:hAnsi="Crimson Pro"/>
          <w:sz w:val="20"/>
          <w:szCs w:val="20"/>
          <w:rtl w:val="0"/>
        </w:rPr>
        <w:t xml:space="preserve"> Congressional Research Service, The Fair Housing Act: HUD Oversight, Programs, and Activities 10, Apr. 7, 2021, </w:t>
      </w:r>
      <w:r w:rsidDel="00000000" w:rsidR="00000000" w:rsidRPr="00000000">
        <w:rPr>
          <w:rFonts w:ascii="Crimson Pro" w:cs="Crimson Pro" w:eastAsia="Crimson Pro" w:hAnsi="Crimson Pro"/>
          <w:sz w:val="20"/>
          <w:szCs w:val="20"/>
          <w:rtl w:val="0"/>
        </w:rPr>
        <w:t xml:space="preserve">https://fas.org/sgp/crs/misc/R44557.pdf</w:t>
      </w:r>
      <w:r w:rsidDel="00000000" w:rsidR="00000000" w:rsidRPr="00000000">
        <w:rPr>
          <w:rFonts w:ascii="Crimson Pro" w:cs="Crimson Pro" w:eastAsia="Crimson Pro" w:hAnsi="Crimson Pro"/>
          <w:sz w:val="20"/>
          <w:szCs w:val="20"/>
          <w:rtl w:val="0"/>
        </w:rPr>
        <w:t xml:space="preserve">.</w:t>
      </w:r>
    </w:p>
  </w:footnote>
  <w:footnote w:id="11">
    <w:p w:rsidR="00000000" w:rsidDel="00000000" w:rsidP="00000000" w:rsidRDefault="00000000" w:rsidRPr="00000000" w14:paraId="0000005A">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generally, e.g.</w:t>
      </w:r>
      <w:r w:rsidDel="00000000" w:rsidR="00000000" w:rsidRPr="00000000">
        <w:rPr>
          <w:rFonts w:ascii="Crimson Pro" w:cs="Crimson Pro" w:eastAsia="Crimson Pro" w:hAnsi="Crimson Pro"/>
          <w:sz w:val="20"/>
          <w:szCs w:val="20"/>
          <w:rtl w:val="0"/>
        </w:rPr>
        <w:t xml:space="preserve">, Valerie Schneider, </w:t>
      </w:r>
      <w:r w:rsidDel="00000000" w:rsidR="00000000" w:rsidRPr="00000000">
        <w:rPr>
          <w:rFonts w:ascii="Crimson Pro" w:cs="Crimson Pro" w:eastAsia="Crimson Pro" w:hAnsi="Crimson Pro"/>
          <w:sz w:val="20"/>
          <w:szCs w:val="20"/>
          <w:rtl w:val="0"/>
        </w:rPr>
        <w:t xml:space="preserve">Locked Out by Big Data: How Algorithms and Machine Learning May Undermine Housing Justice</w:t>
      </w:r>
      <w:r w:rsidDel="00000000" w:rsidR="00000000" w:rsidRPr="00000000">
        <w:rPr>
          <w:rFonts w:ascii="Crimson Pro" w:cs="Crimson Pro" w:eastAsia="Crimson Pro" w:hAnsi="Crimson Pro"/>
          <w:sz w:val="20"/>
          <w:szCs w:val="20"/>
          <w:rtl w:val="0"/>
        </w:rPr>
        <w:t xml:space="preserve">, 52 Columbia Human Rts. L. Rev. 251, 2020, </w:t>
      </w:r>
      <w:r w:rsidDel="00000000" w:rsidR="00000000" w:rsidRPr="00000000">
        <w:rPr>
          <w:rFonts w:ascii="Crimson Pro" w:cs="Crimson Pro" w:eastAsia="Crimson Pro" w:hAnsi="Crimson Pro"/>
          <w:sz w:val="20"/>
          <w:szCs w:val="20"/>
          <w:rtl w:val="0"/>
        </w:rPr>
        <w:t xml:space="preserve">http://hrlr.law.columbia.edu/files/2020/11/251_Schneider.pdf</w:t>
      </w:r>
      <w:r w:rsidDel="00000000" w:rsidR="00000000" w:rsidRPr="00000000">
        <w:rPr>
          <w:rFonts w:ascii="Crimson Pro" w:cs="Crimson Pro" w:eastAsia="Crimson Pro" w:hAnsi="Crimson Pro"/>
          <w:sz w:val="20"/>
          <w:szCs w:val="20"/>
          <w:rtl w:val="0"/>
        </w:rPr>
        <w:t xml:space="preserve">.</w:t>
      </w:r>
    </w:p>
  </w:footnote>
  <w:footnote w:id="12">
    <w:p w:rsidR="00000000" w:rsidDel="00000000" w:rsidP="00000000" w:rsidRDefault="00000000" w:rsidRPr="00000000" w14:paraId="0000005B">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For example, some housing providers use background check services, cameras, and other devices to monitor their tenants’ conduct, which can result in eviction or law enforcement intervention for lawful conduct, such as having non-resident visitors.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HUD, Office of the General Counsel Guidance on Application of Fair Housing Act Standards to the Enforcement of Local Nuisance and Crime-Free Housing Ordinances Against Victims of Domestic Violence, Other Crime Victims, and Others Who Require Police or Emergency Services, Sept. 13, 2016, </w:t>
      </w:r>
      <w:r w:rsidDel="00000000" w:rsidR="00000000" w:rsidRPr="00000000">
        <w:rPr>
          <w:rFonts w:ascii="Crimson Pro" w:cs="Crimson Pro" w:eastAsia="Crimson Pro" w:hAnsi="Crimson Pro"/>
          <w:sz w:val="20"/>
          <w:szCs w:val="20"/>
          <w:rtl w:val="0"/>
        </w:rPr>
        <w:t xml:space="preserve">https://www.hud.gov/sites/documents/FINALNUISANCEORDGDNCE.PDF</w:t>
      </w:r>
      <w:r w:rsidDel="00000000" w:rsidR="00000000" w:rsidRPr="00000000">
        <w:rPr>
          <w:rFonts w:ascii="Crimson Pro" w:cs="Crimson Pro" w:eastAsia="Crimson Pro" w:hAnsi="Crimson Pro"/>
          <w:sz w:val="20"/>
          <w:szCs w:val="20"/>
          <w:rtl w:val="0"/>
        </w:rPr>
        <w:t xml:space="preserve">; Samantha Michaels, </w:t>
      </w:r>
      <w:r w:rsidDel="00000000" w:rsidR="00000000" w:rsidRPr="00000000">
        <w:rPr>
          <w:rFonts w:ascii="Crimson Pro" w:cs="Crimson Pro" w:eastAsia="Crimson Pro" w:hAnsi="Crimson Pro"/>
          <w:sz w:val="20"/>
          <w:szCs w:val="20"/>
          <w:rtl w:val="0"/>
        </w:rPr>
        <w:t xml:space="preserve">Hundreds of Cities Have Adopted a New Strategy for Reducing Crime in Housing. Is it Making Neighborhoods Safer—or Whiter?</w:t>
      </w:r>
      <w:r w:rsidDel="00000000" w:rsidR="00000000" w:rsidRPr="00000000">
        <w:rPr>
          <w:rFonts w:ascii="Crimson Pro" w:cs="Crimson Pro" w:eastAsia="Crimson Pro" w:hAnsi="Crimson Pro"/>
          <w:sz w:val="20"/>
          <w:szCs w:val="20"/>
          <w:rtl w:val="0"/>
        </w:rPr>
        <w:t xml:space="preserve">, Mother Jones, 2019, </w:t>
      </w:r>
      <w:r w:rsidDel="00000000" w:rsidR="00000000" w:rsidRPr="00000000">
        <w:rPr>
          <w:rFonts w:ascii="Crimson Pro" w:cs="Crimson Pro" w:eastAsia="Crimson Pro" w:hAnsi="Crimson Pro"/>
          <w:sz w:val="20"/>
          <w:szCs w:val="20"/>
          <w:rtl w:val="0"/>
        </w:rPr>
        <w:t xml:space="preserve">https://www.motherjones.com/crime-justice/2019/10/crime-free-housing-making-neighborhoods-safer-or-whiter/</w:t>
      </w:r>
      <w:r w:rsidDel="00000000" w:rsidR="00000000" w:rsidRPr="00000000">
        <w:rPr>
          <w:rFonts w:ascii="Crimson Pro" w:cs="Crimson Pro" w:eastAsia="Crimson Pro" w:hAnsi="Crimson Pro"/>
          <w:sz w:val="20"/>
          <w:szCs w:val="20"/>
          <w:rtl w:val="0"/>
        </w:rPr>
        <w:t xml:space="preserve">; Ginia Bellafante, </w:t>
      </w:r>
      <w:r w:rsidDel="00000000" w:rsidR="00000000" w:rsidRPr="00000000">
        <w:rPr>
          <w:rFonts w:ascii="Crimson Pro" w:cs="Crimson Pro" w:eastAsia="Crimson Pro" w:hAnsi="Crimson Pro"/>
          <w:sz w:val="20"/>
          <w:szCs w:val="20"/>
          <w:rtl w:val="0"/>
        </w:rPr>
        <w:t xml:space="preserve">The Landlord Wants Facial Recognition in Its Rent-Stabilized Buildings. Why?</w:t>
      </w:r>
      <w:r w:rsidDel="00000000" w:rsidR="00000000" w:rsidRPr="00000000">
        <w:rPr>
          <w:rFonts w:ascii="Crimson Pro" w:cs="Crimson Pro" w:eastAsia="Crimson Pro" w:hAnsi="Crimson Pro"/>
          <w:sz w:val="20"/>
          <w:szCs w:val="20"/>
          <w:rtl w:val="0"/>
        </w:rPr>
        <w:t xml:space="preserve">, N.Y. Times, Mar. 28, 2019, </w:t>
      </w:r>
      <w:r w:rsidDel="00000000" w:rsidR="00000000" w:rsidRPr="00000000">
        <w:rPr>
          <w:rFonts w:ascii="Crimson Pro" w:cs="Crimson Pro" w:eastAsia="Crimson Pro" w:hAnsi="Crimson Pro"/>
          <w:sz w:val="20"/>
          <w:szCs w:val="20"/>
          <w:rtl w:val="0"/>
        </w:rPr>
        <w:t xml:space="preserve">https://www.nytimes.com/2019/03/28/nyregion/rent-stabilized-buildings-facial-recognition.html</w:t>
      </w:r>
      <w:r w:rsidDel="00000000" w:rsidR="00000000" w:rsidRPr="00000000">
        <w:rPr>
          <w:rFonts w:ascii="Crimson Pro" w:cs="Crimson Pro" w:eastAsia="Crimson Pro" w:hAnsi="Crimson Pro"/>
          <w:sz w:val="20"/>
          <w:szCs w:val="20"/>
          <w:rtl w:val="0"/>
        </w:rPr>
        <w:t xml:space="preserve">.</w:t>
      </w:r>
    </w:p>
  </w:footnote>
  <w:footnote w:id="13">
    <w:p w:rsidR="00000000" w:rsidDel="00000000" w:rsidP="00000000" w:rsidRDefault="00000000" w:rsidRPr="00000000" w14:paraId="0000005C">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HUD’s previous guidance has acknowledged that contributing factors can include “admissions and occupancy policies and procedures, including preferences in publicly supported housing;” lending discrimination; source of income discrimination; “displacement of residents due to economic pressures;” and “barriers faced by individuals and families when attempting to move to a neighborhood or area of their choice.” Dep’t of Housing &amp; Urban Development, AFFH Rule Guidebook 206–19, 2015, </w:t>
      </w:r>
      <w:r w:rsidDel="00000000" w:rsidR="00000000" w:rsidRPr="00000000">
        <w:rPr>
          <w:rFonts w:ascii="Crimson Pro" w:cs="Crimson Pro" w:eastAsia="Crimson Pro" w:hAnsi="Crimson Pro"/>
          <w:sz w:val="20"/>
          <w:szCs w:val="20"/>
          <w:rtl w:val="0"/>
        </w:rPr>
        <w:t xml:space="preserve">https://www.nhlp.org/wp-content/uploads/2017/09/AFFH-Rule-Guidebook-2015.pdf</w:t>
      </w:r>
      <w:r w:rsidDel="00000000" w:rsidR="00000000" w:rsidRPr="00000000">
        <w:rPr>
          <w:rFonts w:ascii="Crimson Pro" w:cs="Crimson Pro" w:eastAsia="Crimson Pro" w:hAnsi="Crimson Pro"/>
          <w:sz w:val="20"/>
          <w:szCs w:val="20"/>
          <w:rtl w:val="0"/>
        </w:rPr>
        <w:t xml:space="preserve">. Tenant screening, underwriting, and surveillance technologies can contribute to these factors, for example, by keeping previously evicted tenants from being able to stay in their neighborhoods or cities. The guidance also states that “relevant local data and local knowledge that may assist a regional analysis include: demographic data from neighboring PHAs and policies and procedures concerning admissions and residency preferences for PHAs in the area.” </w:t>
      </w:r>
      <w:r w:rsidDel="00000000" w:rsidR="00000000" w:rsidRPr="00000000">
        <w:rPr>
          <w:rFonts w:ascii="Crimson Pro" w:cs="Crimson Pro" w:eastAsia="Crimson Pro" w:hAnsi="Crimson Pro"/>
          <w:i w:val="1"/>
          <w:sz w:val="20"/>
          <w:szCs w:val="20"/>
          <w:rtl w:val="0"/>
        </w:rPr>
        <w:t xml:space="preserve">Id.</w:t>
      </w:r>
      <w:r w:rsidDel="00000000" w:rsidR="00000000" w:rsidRPr="00000000">
        <w:rPr>
          <w:rFonts w:ascii="Crimson Pro" w:cs="Crimson Pro" w:eastAsia="Crimson Pro" w:hAnsi="Crimson Pro"/>
          <w:sz w:val="20"/>
          <w:szCs w:val="20"/>
          <w:rtl w:val="0"/>
        </w:rPr>
        <w:t xml:space="preserve"> at 91.</w:t>
      </w:r>
    </w:p>
  </w:footnote>
  <w:footnote w:id="14">
    <w:p w:rsidR="00000000" w:rsidDel="00000000" w:rsidP="00000000" w:rsidRDefault="00000000" w:rsidRPr="00000000" w14:paraId="0000005D">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Urban Institute, Data and Tools of Fair Housing Planning, </w:t>
      </w:r>
      <w:r w:rsidDel="00000000" w:rsidR="00000000" w:rsidRPr="00000000">
        <w:rPr>
          <w:rFonts w:ascii="Crimson Pro" w:cs="Crimson Pro" w:eastAsia="Crimson Pro" w:hAnsi="Crimson Pro"/>
          <w:sz w:val="20"/>
          <w:szCs w:val="20"/>
          <w:rtl w:val="0"/>
        </w:rPr>
        <w:t xml:space="preserve">https://datacatalog.urban.org/dataset/data-and-tools-fair-housing-planning</w:t>
      </w:r>
      <w:r w:rsidDel="00000000" w:rsidR="00000000" w:rsidRPr="00000000">
        <w:rPr>
          <w:rFonts w:ascii="Crimson Pro" w:cs="Crimson Pro" w:eastAsia="Crimson Pro" w:hAnsi="Crimson Pro"/>
          <w:sz w:val="20"/>
          <w:szCs w:val="20"/>
          <w:rtl w:val="0"/>
        </w:rPr>
        <w:t xml:space="preserve">.</w:t>
      </w:r>
    </w:p>
  </w:footnote>
  <w:footnote w:id="15">
    <w:p w:rsidR="00000000" w:rsidDel="00000000" w:rsidP="00000000" w:rsidRDefault="00000000" w:rsidRPr="00000000" w14:paraId="0000005E">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w:t>
      </w:r>
      <w:r w:rsidDel="00000000" w:rsidR="00000000" w:rsidRPr="00000000">
        <w:rPr>
          <w:rFonts w:ascii="Crimson Pro" w:cs="Crimson Pro" w:eastAsia="Crimson Pro" w:hAnsi="Crimson Pro"/>
          <w:sz w:val="20"/>
          <w:szCs w:val="20"/>
          <w:rtl w:val="0"/>
        </w:rPr>
        <w:t xml:space="preserve"> Leah Hendey &amp; Mychal Cohen, Urban Institute, Using Data to Assess Fair Housing and Improve Access to Opportunity: A Guidebook for Community Organizations, Aug. 3, 2017, </w:t>
      </w:r>
      <w:r w:rsidDel="00000000" w:rsidR="00000000" w:rsidRPr="00000000">
        <w:rPr>
          <w:rFonts w:ascii="Crimson Pro" w:cs="Crimson Pro" w:eastAsia="Crimson Pro" w:hAnsi="Crimson Pro"/>
          <w:sz w:val="20"/>
          <w:szCs w:val="20"/>
          <w:rtl w:val="0"/>
        </w:rPr>
        <w:t xml:space="preserve">https://www.urban.org/research/publication/using-data-assess-fair-housing-and-improve-access-opportunity/view/full_report</w:t>
      </w:r>
      <w:r w:rsidDel="00000000" w:rsidR="00000000" w:rsidRPr="00000000">
        <w:rPr>
          <w:rFonts w:ascii="Crimson Pro" w:cs="Crimson Pro" w:eastAsia="Crimson Pro" w:hAnsi="Crimson Pro"/>
          <w:sz w:val="20"/>
          <w:szCs w:val="20"/>
          <w:rtl w:val="0"/>
        </w:rPr>
        <w:t xml:space="preserve">.</w:t>
      </w:r>
    </w:p>
  </w:footnote>
  <w:footnote w:id="16">
    <w:p w:rsidR="00000000" w:rsidDel="00000000" w:rsidP="00000000" w:rsidRDefault="00000000" w:rsidRPr="00000000" w14:paraId="0000005F">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HUD, Office of General Counsel Guidance on Application of Fair Housing Act Standards to the Use of Criminal Records by Providers of Housing and Real Estate-Related Transactions, Apr. 4, 2016, </w:t>
      </w:r>
      <w:r w:rsidDel="00000000" w:rsidR="00000000" w:rsidRPr="00000000">
        <w:rPr>
          <w:rFonts w:ascii="Crimson Pro" w:cs="Crimson Pro" w:eastAsia="Crimson Pro" w:hAnsi="Crimson Pro"/>
          <w:sz w:val="20"/>
          <w:szCs w:val="20"/>
          <w:rtl w:val="0"/>
        </w:rPr>
        <w:t xml:space="preserve">https://www.hud.gov/sites/documents/HUD_OGCGUIDAPPFHASTANDCR.PDF.</w:t>
      </w:r>
      <w:r w:rsidDel="00000000" w:rsidR="00000000" w:rsidRPr="00000000">
        <w:rPr>
          <w:rtl w:val="0"/>
        </w:rPr>
      </w:r>
    </w:p>
  </w:footnote>
  <w:footnote w:id="27">
    <w:p w:rsidR="00000000" w:rsidDel="00000000" w:rsidP="00000000" w:rsidRDefault="00000000" w:rsidRPr="00000000" w14:paraId="00000060">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generally, e.g., </w:t>
      </w:r>
      <w:r w:rsidDel="00000000" w:rsidR="00000000" w:rsidRPr="00000000">
        <w:rPr>
          <w:rFonts w:ascii="Crimson Pro" w:cs="Crimson Pro" w:eastAsia="Crimson Pro" w:hAnsi="Crimson Pro"/>
          <w:sz w:val="20"/>
          <w:szCs w:val="20"/>
          <w:rtl w:val="0"/>
        </w:rPr>
        <w:t xml:space="preserve">Ariel Nelson, Nat’l Consumer Law Ctr., Broken Records Redux: How Errors by Criminal Background Check Companies Continue to Harm Consumers Seeking Jobs and Housing, Dec. 2019, </w:t>
      </w:r>
      <w:r w:rsidDel="00000000" w:rsidR="00000000" w:rsidRPr="00000000">
        <w:rPr>
          <w:rFonts w:ascii="Crimson Pro" w:cs="Crimson Pro" w:eastAsia="Crimson Pro" w:hAnsi="Crimson Pro"/>
          <w:sz w:val="20"/>
          <w:szCs w:val="20"/>
          <w:rtl w:val="0"/>
        </w:rPr>
        <w:t xml:space="preserve">https://www.nclc.org/images/pdf/criminal-justice/report-broken-records-redux.pdf</w:t>
      </w:r>
      <w:r w:rsidDel="00000000" w:rsidR="00000000" w:rsidRPr="00000000">
        <w:rPr>
          <w:rFonts w:ascii="Crimson Pro" w:cs="Crimson Pro" w:eastAsia="Crimson Pro" w:hAnsi="Crimson Pro"/>
          <w:sz w:val="20"/>
          <w:szCs w:val="20"/>
          <w:rtl w:val="0"/>
        </w:rPr>
        <w:t xml:space="preserve">.</w:t>
      </w:r>
    </w:p>
  </w:footnote>
  <w:footnote w:id="8">
    <w:p w:rsidR="00000000" w:rsidDel="00000000" w:rsidP="00000000" w:rsidRDefault="00000000" w:rsidRPr="00000000" w14:paraId="00000061">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Brief for Upturn, Inc. as Amicus Curiae 2, Opiotennione v. Facebook, 3:19–cv–07185, June 26, 2020, </w:t>
      </w:r>
      <w:r w:rsidDel="00000000" w:rsidR="00000000" w:rsidRPr="00000000">
        <w:rPr>
          <w:rFonts w:ascii="Crimson Pro" w:cs="Crimson Pro" w:eastAsia="Crimson Pro" w:hAnsi="Crimson Pro"/>
          <w:sz w:val="20"/>
          <w:szCs w:val="20"/>
          <w:rtl w:val="0"/>
        </w:rPr>
        <w:t xml:space="preserve">https://www.courtlistener.com/recap/gov.uscourts.cand.350804/gov.uscourts.cand.350804.44.1.pdf; Facebook, Business Help Center, About Optimization for Ad Delivery, https://www.facebook.com/business/help/355670007911605?id=561906377587030.</w:t>
      </w:r>
      <w:r w:rsidDel="00000000" w:rsidR="00000000" w:rsidRPr="00000000">
        <w:rPr>
          <w:rtl w:val="0"/>
        </w:rPr>
      </w:r>
    </w:p>
  </w:footnote>
  <w:footnote w:id="9">
    <w:p w:rsidR="00000000" w:rsidDel="00000000" w:rsidP="00000000" w:rsidRDefault="00000000" w:rsidRPr="00000000" w14:paraId="00000062">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w:t>
      </w:r>
      <w:r w:rsidDel="00000000" w:rsidR="00000000" w:rsidRPr="00000000">
        <w:rPr>
          <w:rFonts w:ascii="Crimson Pro" w:cs="Crimson Pro" w:eastAsia="Crimson Pro" w:hAnsi="Crimson Pro"/>
          <w:sz w:val="20"/>
          <w:szCs w:val="20"/>
          <w:rtl w:val="0"/>
        </w:rPr>
        <w:t xml:space="preserve"> Muhammad Ali et al., </w:t>
      </w:r>
      <w:r w:rsidDel="00000000" w:rsidR="00000000" w:rsidRPr="00000000">
        <w:rPr>
          <w:rFonts w:ascii="Crimson Pro" w:cs="Crimson Pro" w:eastAsia="Crimson Pro" w:hAnsi="Crimson Pro"/>
          <w:i w:val="1"/>
          <w:sz w:val="20"/>
          <w:szCs w:val="20"/>
          <w:rtl w:val="0"/>
        </w:rPr>
        <w:t xml:space="preserve">supra</w:t>
      </w:r>
      <w:r w:rsidDel="00000000" w:rsidR="00000000" w:rsidRPr="00000000">
        <w:rPr>
          <w:rFonts w:ascii="Crimson Pro" w:cs="Crimson Pro" w:eastAsia="Crimson Pro" w:hAnsi="Crimson Pro"/>
          <w:sz w:val="20"/>
          <w:szCs w:val="20"/>
          <w:rtl w:val="0"/>
        </w:rPr>
        <w:t xml:space="preserve"> note 3; Basileal Imana, Aleksandra Korolova &amp; John Heidemann, Auditing for Discrimination in Job Ad Delivery, Proceedings of the Web Conference 2021, https://ant.isi.edu/datasets/addelivery/.</w:t>
      </w:r>
      <w:r w:rsidDel="00000000" w:rsidR="00000000" w:rsidRPr="00000000">
        <w:rPr>
          <w:rtl w:val="0"/>
        </w:rPr>
      </w:r>
    </w:p>
  </w:footnote>
  <w:footnote w:id="10">
    <w:p w:rsidR="00000000" w:rsidDel="00000000" w:rsidP="00000000" w:rsidRDefault="00000000" w:rsidRPr="00000000" w14:paraId="00000063">
      <w:pPr>
        <w:spacing w:line="240" w:lineRule="auto"/>
        <w:rPr>
          <w:rFonts w:ascii="Crimson Pro" w:cs="Crimson Pro" w:eastAsia="Crimson Pro" w:hAnsi="Crimson Pro"/>
          <w:i w:val="1"/>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w:t>
      </w:r>
      <w:r w:rsidDel="00000000" w:rsidR="00000000" w:rsidRPr="00000000">
        <w:rPr>
          <w:rFonts w:ascii="Crimson Pro" w:cs="Crimson Pro" w:eastAsia="Crimson Pro" w:hAnsi="Crimson Pro"/>
          <w:sz w:val="20"/>
          <w:szCs w:val="20"/>
          <w:rtl w:val="0"/>
        </w:rPr>
        <w:t xml:space="preserve"> Muhammad Ali et al., </w:t>
      </w:r>
      <w:r w:rsidDel="00000000" w:rsidR="00000000" w:rsidRPr="00000000">
        <w:rPr>
          <w:rFonts w:ascii="Crimson Pro" w:cs="Crimson Pro" w:eastAsia="Crimson Pro" w:hAnsi="Crimson Pro"/>
          <w:i w:val="1"/>
          <w:sz w:val="20"/>
          <w:szCs w:val="20"/>
          <w:rtl w:val="0"/>
        </w:rPr>
        <w:t xml:space="preserve">supra</w:t>
      </w:r>
      <w:r w:rsidDel="00000000" w:rsidR="00000000" w:rsidRPr="00000000">
        <w:rPr>
          <w:rFonts w:ascii="Crimson Pro" w:cs="Crimson Pro" w:eastAsia="Crimson Pro" w:hAnsi="Crimson Pro"/>
          <w:sz w:val="20"/>
          <w:szCs w:val="20"/>
          <w:rtl w:val="0"/>
        </w:rPr>
        <w:t xml:space="preserve"> note 3.</w:t>
      </w:r>
      <w:r w:rsidDel="00000000" w:rsidR="00000000" w:rsidRPr="00000000">
        <w:rPr>
          <w:rtl w:val="0"/>
        </w:rPr>
      </w:r>
    </w:p>
  </w:footnote>
  <w:footnote w:id="28">
    <w:p w:rsidR="00000000" w:rsidDel="00000000" w:rsidP="00000000" w:rsidRDefault="00000000" w:rsidRPr="00000000" w14:paraId="00000064">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Section 6(b) of the Federal Trade Commission Act empowers the Commission to require an entity to file “annual or special . . . reports or answers in writing to specific questions” to provide information about the entity’s “organization, business, conduct, practices, management, and relation to other corporations, partnerships, and individuals.” 15 U.S.C. § 46(b). </w:t>
      </w:r>
    </w:p>
  </w:footnote>
  <w:footnote w:id="26">
    <w:p w:rsidR="00000000" w:rsidDel="00000000" w:rsidP="00000000" w:rsidRDefault="00000000" w:rsidRPr="00000000" w14:paraId="00000065">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For existing guidance, </w:t>
      </w:r>
      <w:r w:rsidDel="00000000" w:rsidR="00000000" w:rsidRPr="00000000">
        <w:rPr>
          <w:rFonts w:ascii="Crimson Pro" w:cs="Crimson Pro" w:eastAsia="Crimson Pro" w:hAnsi="Crimson Pro"/>
          <w:i w:val="1"/>
          <w:sz w:val="20"/>
          <w:szCs w:val="20"/>
          <w:rtl w:val="0"/>
        </w:rPr>
        <w:t xml:space="preserve">see </w:t>
      </w:r>
      <w:r w:rsidDel="00000000" w:rsidR="00000000" w:rsidRPr="00000000">
        <w:rPr>
          <w:rFonts w:ascii="Crimson Pro" w:cs="Crimson Pro" w:eastAsia="Crimson Pro" w:hAnsi="Crimson Pro"/>
          <w:sz w:val="20"/>
          <w:szCs w:val="20"/>
          <w:rtl w:val="0"/>
        </w:rPr>
        <w:t xml:space="preserve">FTC, What Tenant Background Screening Companies Need to Know About The Fair Credit Reporting Act, Oct. 2016, https://www.ftc.gov/tips-advice/business-center/guidance/what-tenant-background-screening-companies-need-know-about-fair.</w:t>
      </w:r>
    </w:p>
  </w:footnote>
  <w:footnote w:id="17">
    <w:p w:rsidR="00000000" w:rsidDel="00000000" w:rsidP="00000000" w:rsidRDefault="00000000" w:rsidRPr="00000000" w14:paraId="00000067">
      <w:pPr>
        <w:spacing w:line="240" w:lineRule="auto"/>
        <w:rPr>
          <w:rFonts w:ascii="Crimson Pro" w:cs="Crimson Pro" w:eastAsia="Crimson Pro" w:hAnsi="Crimson Pro"/>
          <w:i w:val="1"/>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Id.</w:t>
      </w:r>
    </w:p>
  </w:footnote>
  <w:footnote w:id="18">
    <w:p w:rsidR="00000000" w:rsidDel="00000000" w:rsidP="00000000" w:rsidRDefault="00000000" w:rsidRPr="00000000" w14:paraId="00000068">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Housing Equality Ctr. of Penn., Nuisance and Crime-Free Housing Ordinances, </w:t>
      </w:r>
      <w:r w:rsidDel="00000000" w:rsidR="00000000" w:rsidRPr="00000000">
        <w:rPr>
          <w:rFonts w:ascii="Crimson Pro" w:cs="Crimson Pro" w:eastAsia="Crimson Pro" w:hAnsi="Crimson Pro"/>
          <w:sz w:val="20"/>
          <w:szCs w:val="20"/>
          <w:rtl w:val="0"/>
        </w:rPr>
        <w:t xml:space="preserve">https://www.equalhousing.org/fair-housing-topics/nuisance-and-crime-free-housing-ordinances/#:~:text=Crime%2Dfree%20ordinances%20may%20define,Housing%20Act%20in%20several%20circumstances; Am. Civ. Liberties Union, I Am Not a Nuisance: Local Ordinances Punish Victims of Crime, </w:t>
      </w:r>
    </w:p>
    <w:p w:rsidR="00000000" w:rsidDel="00000000" w:rsidP="00000000" w:rsidRDefault="00000000" w:rsidRPr="00000000" w14:paraId="00000069">
      <w:pPr>
        <w:spacing w:line="240" w:lineRule="auto"/>
        <w:rPr>
          <w:rFonts w:ascii="Crimson Pro" w:cs="Crimson Pro" w:eastAsia="Crimson Pro" w:hAnsi="Crimson Pro"/>
          <w:sz w:val="20"/>
          <w:szCs w:val="20"/>
        </w:rPr>
      </w:pPr>
      <w:r w:rsidDel="00000000" w:rsidR="00000000" w:rsidRPr="00000000">
        <w:rPr>
          <w:rFonts w:ascii="Crimson Pro" w:cs="Crimson Pro" w:eastAsia="Crimson Pro" w:hAnsi="Crimson Pro"/>
          <w:sz w:val="20"/>
          <w:szCs w:val="20"/>
          <w:rtl w:val="0"/>
        </w:rPr>
        <w:t xml:space="preserve">https://www.aclu.org/other/i-am-not-nuisance-local-ordinances-punish-victims-crime; Michaels, </w:t>
      </w:r>
      <w:r w:rsidDel="00000000" w:rsidR="00000000" w:rsidRPr="00000000">
        <w:rPr>
          <w:rFonts w:ascii="Crimson Pro" w:cs="Crimson Pro" w:eastAsia="Crimson Pro" w:hAnsi="Crimson Pro"/>
          <w:i w:val="1"/>
          <w:sz w:val="20"/>
          <w:szCs w:val="20"/>
          <w:rtl w:val="0"/>
        </w:rPr>
        <w:t xml:space="preserve">supra</w:t>
      </w:r>
      <w:r w:rsidDel="00000000" w:rsidR="00000000" w:rsidRPr="00000000">
        <w:rPr>
          <w:rFonts w:ascii="Crimson Pro" w:cs="Crimson Pro" w:eastAsia="Crimson Pro" w:hAnsi="Crimson Pro"/>
          <w:sz w:val="20"/>
          <w:szCs w:val="20"/>
          <w:rtl w:val="0"/>
        </w:rPr>
        <w:t xml:space="preserve"> note 12.</w:t>
      </w:r>
      <w:r w:rsidDel="00000000" w:rsidR="00000000" w:rsidRPr="00000000">
        <w:rPr>
          <w:rtl w:val="0"/>
        </w:rPr>
      </w:r>
    </w:p>
  </w:footnote>
  <w:footnote w:id="19">
    <w:p w:rsidR="00000000" w:rsidDel="00000000" w:rsidP="00000000" w:rsidRDefault="00000000" w:rsidRPr="00000000" w14:paraId="0000006A">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Fair Chance in Housing Act, S.B. 250, 219th Leg. (N.J. 2021), </w:t>
      </w:r>
      <w:r w:rsidDel="00000000" w:rsidR="00000000" w:rsidRPr="00000000">
        <w:rPr>
          <w:rFonts w:ascii="Crimson Pro" w:cs="Crimson Pro" w:eastAsia="Crimson Pro" w:hAnsi="Crimson Pro"/>
          <w:sz w:val="20"/>
          <w:szCs w:val="20"/>
          <w:rtl w:val="0"/>
        </w:rPr>
        <w:t xml:space="preserve">https://www.njleg.state.nj.us/bills/BillView.asp?BillNumber=S250</w:t>
      </w:r>
      <w:r w:rsidDel="00000000" w:rsidR="00000000" w:rsidRPr="00000000">
        <w:rPr>
          <w:rFonts w:ascii="Crimson Pro" w:cs="Crimson Pro" w:eastAsia="Crimson Pro" w:hAnsi="Crimson Pro"/>
          <w:sz w:val="20"/>
          <w:szCs w:val="20"/>
          <w:rtl w:val="0"/>
        </w:rPr>
        <w:t xml:space="preserve">; Fair Criminal Record Screening for Housing, D.C. Code § 42–3541, </w:t>
      </w:r>
      <w:r w:rsidDel="00000000" w:rsidR="00000000" w:rsidRPr="00000000">
        <w:rPr>
          <w:rFonts w:ascii="Crimson Pro" w:cs="Crimson Pro" w:eastAsia="Crimson Pro" w:hAnsi="Crimson Pro"/>
          <w:sz w:val="20"/>
          <w:szCs w:val="20"/>
          <w:rtl w:val="0"/>
        </w:rPr>
        <w:t xml:space="preserve">https://code.dccouncil.us/dc/council/code/titles/42/chapters/35B/</w:t>
      </w:r>
      <w:r w:rsidDel="00000000" w:rsidR="00000000" w:rsidRPr="00000000">
        <w:rPr>
          <w:rFonts w:ascii="Crimson Pro" w:cs="Crimson Pro" w:eastAsia="Crimson Pro" w:hAnsi="Crimson Pro"/>
          <w:sz w:val="20"/>
          <w:szCs w:val="20"/>
          <w:rtl w:val="0"/>
        </w:rPr>
        <w:t xml:space="preserve">; Seattle Mun. Code § 14.09, </w:t>
      </w:r>
      <w:r w:rsidDel="00000000" w:rsidR="00000000" w:rsidRPr="00000000">
        <w:rPr>
          <w:rFonts w:ascii="Crimson Pro" w:cs="Crimson Pro" w:eastAsia="Crimson Pro" w:hAnsi="Crimson Pro"/>
          <w:sz w:val="20"/>
          <w:szCs w:val="20"/>
          <w:rtl w:val="0"/>
        </w:rPr>
        <w:t xml:space="preserve">https://library.municode.com/wa/seattle/codes/municipal_code?nodeId=TIT14HURI_CH14.09USSCREHO</w:t>
      </w:r>
      <w:r w:rsidDel="00000000" w:rsidR="00000000" w:rsidRPr="00000000">
        <w:rPr>
          <w:rFonts w:ascii="Crimson Pro" w:cs="Crimson Pro" w:eastAsia="Crimson Pro" w:hAnsi="Crimson Pro"/>
          <w:sz w:val="20"/>
          <w:szCs w:val="20"/>
          <w:rtl w:val="0"/>
        </w:rPr>
        <w:t xml:space="preserve">; Ronald V. Dellums &amp; Simbarashe Sherry Fair Chance Access to Housing Ordinance, Oakland Mun. Code § 8.25, </w:t>
      </w:r>
      <w:r w:rsidDel="00000000" w:rsidR="00000000" w:rsidRPr="00000000">
        <w:rPr>
          <w:rFonts w:ascii="Crimson Pro" w:cs="Crimson Pro" w:eastAsia="Crimson Pro" w:hAnsi="Crimson Pro"/>
          <w:sz w:val="20"/>
          <w:szCs w:val="20"/>
          <w:rtl w:val="0"/>
        </w:rPr>
        <w:t xml:space="preserve">https://library.municode.com/ca/oakland/codes/code_of_ordinances?nodeId=TIT8HESA_CH8.25ROV.DESISHFACHACHOOR; Bill no. 210330–A (Philadelphia 2021), https://phila.legistar.com/LegislationDetail.aspx?ID=4915398&amp;GUID=EBAAF6DA-BB11-4ED4-8BD9-6A5224A55347.</w:t>
      </w:r>
      <w:r w:rsidDel="00000000" w:rsidR="00000000" w:rsidRPr="00000000">
        <w:rPr>
          <w:rtl w:val="0"/>
        </w:rPr>
      </w:r>
    </w:p>
  </w:footnote>
  <w:footnote w:id="20">
    <w:p w:rsidR="00000000" w:rsidDel="00000000" w:rsidP="00000000" w:rsidRDefault="00000000" w:rsidRPr="00000000" w14:paraId="0000006B">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See,</w:t>
      </w:r>
      <w:r w:rsidDel="00000000" w:rsidR="00000000" w:rsidRPr="00000000">
        <w:rPr>
          <w:rFonts w:ascii="Crimson Pro" w:cs="Crimson Pro" w:eastAsia="Crimson Pro" w:hAnsi="Crimson Pro"/>
          <w:i w:val="1"/>
          <w:sz w:val="20"/>
          <w:szCs w:val="20"/>
          <w:rtl w:val="0"/>
        </w:rPr>
        <w:t xml:space="preserve"> e.g.</w:t>
      </w:r>
      <w:r w:rsidDel="00000000" w:rsidR="00000000" w:rsidRPr="00000000">
        <w:rPr>
          <w:rFonts w:ascii="Crimson Pro" w:cs="Crimson Pro" w:eastAsia="Crimson Pro" w:hAnsi="Crimson Pro"/>
          <w:sz w:val="20"/>
          <w:szCs w:val="20"/>
          <w:rtl w:val="0"/>
        </w:rPr>
        <w:t xml:space="preserve">, Peter Hepburn, Renee Louis &amp; Matthew Desmond, Racial and Gender Disparities Among Evicted Americans, Dec. 16, 2020, https://evictionlab.org/demographics-of-eviction/; Community Legal Services of Philadelphia, Breaking the Record: Dismantling the Barriers Eviction Records Place on Housing Opportunities, Nov. 2020, https://clsphila.org/wp-content/uploads/2020/12/Breaking-the-Record-Report_Nov2020.pdf; Sophie Beiers, Sandra Park &amp; Linda Morris, Am. Civ. Liberties Union, Clearing the Record: How Eviction Sealing Laws Can Advance Housing Access for Women of Color, Jan. 10, 2020, https://www.aclu.org/news/racial-justice/clearing-the-record-how-eviction-sealing-laws-can-advance-housing-access-for-women-of-color/.</w:t>
      </w:r>
    </w:p>
  </w:footnote>
  <w:footnote w:id="21">
    <w:p w:rsidR="00000000" w:rsidDel="00000000" w:rsidP="00000000" w:rsidRDefault="00000000" w:rsidRPr="00000000" w14:paraId="0000006C">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See, </w:t>
      </w:r>
      <w:r w:rsidDel="00000000" w:rsidR="00000000" w:rsidRPr="00000000">
        <w:rPr>
          <w:rFonts w:ascii="Crimson Pro" w:cs="Crimson Pro" w:eastAsia="Crimson Pro" w:hAnsi="Crimson Pro"/>
          <w:i w:val="1"/>
          <w:sz w:val="20"/>
          <w:szCs w:val="20"/>
          <w:rtl w:val="0"/>
        </w:rPr>
        <w:t xml:space="preserve">e.g.</w:t>
      </w:r>
      <w:r w:rsidDel="00000000" w:rsidR="00000000" w:rsidRPr="00000000">
        <w:rPr>
          <w:rFonts w:ascii="Crimson Pro" w:cs="Crimson Pro" w:eastAsia="Crimson Pro" w:hAnsi="Crimson Pro"/>
          <w:sz w:val="20"/>
          <w:szCs w:val="20"/>
          <w:rtl w:val="0"/>
        </w:rPr>
        <w:t xml:space="preserve">, Brian J. McCabe &amp; Eva Rosen, Eviction in Washington, D.C.: Racial and Geographic Disparities in Housing Instability 8–14, Fall 2020, </w:t>
      </w:r>
      <w:r w:rsidDel="00000000" w:rsidR="00000000" w:rsidRPr="00000000">
        <w:rPr>
          <w:rFonts w:ascii="Crimson Pro" w:cs="Crimson Pro" w:eastAsia="Crimson Pro" w:hAnsi="Crimson Pro"/>
          <w:sz w:val="20"/>
          <w:szCs w:val="20"/>
          <w:rtl w:val="0"/>
        </w:rPr>
        <w:t xml:space="preserve">https://georgetown.app.box.com/s/8cq4p8ap4nq5xm75b5mct0nz5002z3ap</w:t>
      </w:r>
      <w:r w:rsidDel="00000000" w:rsidR="00000000" w:rsidRPr="00000000">
        <w:rPr>
          <w:rFonts w:ascii="Crimson Pro" w:cs="Crimson Pro" w:eastAsia="Crimson Pro" w:hAnsi="Crimson Pro"/>
          <w:sz w:val="20"/>
          <w:szCs w:val="20"/>
          <w:rtl w:val="0"/>
        </w:rPr>
        <w:t xml:space="preserve">. </w:t>
      </w:r>
    </w:p>
  </w:footnote>
  <w:footnote w:id="22">
    <w:p w:rsidR="00000000" w:rsidDel="00000000" w:rsidP="00000000" w:rsidRDefault="00000000" w:rsidRPr="00000000" w14:paraId="0000006D">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Josh Kaplan, Thousands of D.C. Renters are Evicted Every Year. Do They All Know to Show Up to Court?, dcist, 2020, </w:t>
      </w:r>
      <w:r w:rsidDel="00000000" w:rsidR="00000000" w:rsidRPr="00000000">
        <w:rPr>
          <w:rFonts w:ascii="Crimson Pro" w:cs="Crimson Pro" w:eastAsia="Crimson Pro" w:hAnsi="Crimson Pro"/>
          <w:sz w:val="20"/>
          <w:szCs w:val="20"/>
          <w:rtl w:val="0"/>
        </w:rPr>
        <w:t xml:space="preserve">https://dcist.com/story/20/10/05/thousands-of-d-c-renters-are-evicted-every-year-do-they-all-know-to-show-up-to-court/. </w:t>
      </w:r>
      <w:r w:rsidDel="00000000" w:rsidR="00000000" w:rsidRPr="00000000">
        <w:rPr>
          <w:rFonts w:ascii="Crimson Pro" w:cs="Crimson Pro" w:eastAsia="Crimson Pro" w:hAnsi="Crimson Pro"/>
          <w:sz w:val="20"/>
          <w:szCs w:val="20"/>
          <w:rtl w:val="0"/>
        </w:rPr>
        <w:t xml:space="preserve">Research shows that providing a right to counsel in housing court in New York City has led to large drops in the rates of eviction filings, default judgments, and executed evictions. See Nat’l Coalition for a Civil Right to Counsel, All About the Right to Counsel for Evictions in NYC, Dec. 14, 2020, </w:t>
      </w:r>
      <w:r w:rsidDel="00000000" w:rsidR="00000000" w:rsidRPr="00000000">
        <w:rPr>
          <w:rFonts w:ascii="Crimson Pro" w:cs="Crimson Pro" w:eastAsia="Crimson Pro" w:hAnsi="Crimson Pro"/>
          <w:sz w:val="20"/>
          <w:szCs w:val="20"/>
          <w:rtl w:val="0"/>
        </w:rPr>
        <w:t xml:space="preserve">http://civilrighttocounsel.org/major_developments/894</w:t>
      </w:r>
      <w:r w:rsidDel="00000000" w:rsidR="00000000" w:rsidRPr="00000000">
        <w:rPr>
          <w:rFonts w:ascii="Crimson Pro" w:cs="Crimson Pro" w:eastAsia="Crimson Pro" w:hAnsi="Crimson Pro"/>
          <w:sz w:val="20"/>
          <w:szCs w:val="20"/>
          <w:rtl w:val="0"/>
        </w:rPr>
        <w:t xml:space="preserve">. In Washington, D.C., twenty landlords filed nearly half of all evictions in 2018, often “serially” filing multiple evictions against the same tenants. Brian J. McCabe &amp; Eva Rosen, Eviction in Washington, D.C.: Racial and Geographic Disparities in Housing Instability 6, Fall 2020, https://georgetown.app.box.com/s/8cq4p8ap4nq5xm75b5mct0nz5002z3ap.</w:t>
      </w:r>
    </w:p>
  </w:footnote>
  <w:footnote w:id="24">
    <w:p w:rsidR="00000000" w:rsidDel="00000000" w:rsidP="00000000" w:rsidRDefault="00000000" w:rsidRPr="00000000" w14:paraId="0000006E">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e.g.</w:t>
      </w:r>
      <w:r w:rsidDel="00000000" w:rsidR="00000000" w:rsidRPr="00000000">
        <w:rPr>
          <w:rFonts w:ascii="Crimson Pro" w:cs="Crimson Pro" w:eastAsia="Crimson Pro" w:hAnsi="Crimson Pro"/>
          <w:sz w:val="20"/>
          <w:szCs w:val="20"/>
          <w:rtl w:val="0"/>
        </w:rPr>
        <w:t xml:space="preserve">, Bill no. 210330–A (Philadelphia 2021), </w:t>
      </w:r>
      <w:r w:rsidDel="00000000" w:rsidR="00000000" w:rsidRPr="00000000">
        <w:rPr>
          <w:rFonts w:ascii="Crimson Pro" w:cs="Crimson Pro" w:eastAsia="Crimson Pro" w:hAnsi="Crimson Pro"/>
          <w:sz w:val="20"/>
          <w:szCs w:val="20"/>
          <w:rtl w:val="0"/>
        </w:rPr>
        <w:t xml:space="preserve">https://phila.legistar.com/LegislationDetail.aspx?ID=4915398&amp;GUID=EBAAF6DA-BB11-4ED4-8BD9-6A5224A55347</w:t>
      </w:r>
      <w:r w:rsidDel="00000000" w:rsidR="00000000" w:rsidRPr="00000000">
        <w:rPr>
          <w:rFonts w:ascii="Crimson Pro" w:cs="Crimson Pro" w:eastAsia="Crimson Pro" w:hAnsi="Crimson Pro"/>
          <w:sz w:val="20"/>
          <w:szCs w:val="20"/>
          <w:rtl w:val="0"/>
        </w:rPr>
        <w:t xml:space="preserve">; Housing Stability &amp; Tenant Protection Act of 2019, S.B. 6458, 2019–2020 Assemb. (N.Y. 2019), </w:t>
      </w:r>
      <w:r w:rsidDel="00000000" w:rsidR="00000000" w:rsidRPr="00000000">
        <w:rPr>
          <w:rFonts w:ascii="Crimson Pro" w:cs="Crimson Pro" w:eastAsia="Crimson Pro" w:hAnsi="Crimson Pro"/>
          <w:sz w:val="20"/>
          <w:szCs w:val="20"/>
          <w:rtl w:val="0"/>
        </w:rPr>
        <w:t xml:space="preserve">https://www.nysenate.gov/legislation/bills/2019/s6458; Minneapolis Mun. Code § 244.2030, https://library.municode.com/mn/minneapolis/codes/code_of_ordinances?nodeId=COOR_TIT12HO_CH244MACO_ARTXVIREDWLI_244.2030APSCCRPRTE.</w:t>
      </w:r>
      <w:r w:rsidDel="00000000" w:rsidR="00000000" w:rsidRPr="00000000">
        <w:rPr>
          <w:rtl w:val="0"/>
        </w:rPr>
      </w:r>
    </w:p>
  </w:footnote>
  <w:footnote w:id="25">
    <w:p w:rsidR="00000000" w:rsidDel="00000000" w:rsidP="00000000" w:rsidRDefault="00000000" w:rsidRPr="00000000" w14:paraId="0000006F">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 supra</w:t>
      </w:r>
      <w:r w:rsidDel="00000000" w:rsidR="00000000" w:rsidRPr="00000000">
        <w:rPr>
          <w:rFonts w:ascii="Crimson Pro" w:cs="Crimson Pro" w:eastAsia="Crimson Pro" w:hAnsi="Crimson Pro"/>
          <w:sz w:val="20"/>
          <w:szCs w:val="20"/>
          <w:rtl w:val="0"/>
        </w:rPr>
        <w:t xml:space="preserve"> note 25.</w:t>
      </w:r>
    </w:p>
  </w:footnote>
  <w:footnote w:id="23">
    <w:p w:rsidR="00000000" w:rsidDel="00000000" w:rsidP="00000000" w:rsidRDefault="00000000" w:rsidRPr="00000000" w14:paraId="00000070">
      <w:pPr>
        <w:spacing w:line="240" w:lineRule="auto"/>
        <w:rPr>
          <w:rFonts w:ascii="Crimson Pro" w:cs="Crimson Pro" w:eastAsia="Crimson Pro" w:hAnsi="Crimson Pro"/>
          <w:sz w:val="20"/>
          <w:szCs w:val="20"/>
        </w:rPr>
      </w:pPr>
      <w:r w:rsidDel="00000000" w:rsidR="00000000" w:rsidRPr="00000000">
        <w:rPr>
          <w:rStyle w:val="FootnoteReference"/>
          <w:vertAlign w:val="superscript"/>
        </w:rPr>
        <w:footnoteRef/>
      </w:r>
      <w:r w:rsidDel="00000000" w:rsidR="00000000" w:rsidRPr="00000000">
        <w:rPr>
          <w:rFonts w:ascii="Crimson Pro" w:cs="Crimson Pro" w:eastAsia="Crimson Pro" w:hAnsi="Crimson Pro"/>
          <w:sz w:val="20"/>
          <w:szCs w:val="20"/>
          <w:rtl w:val="0"/>
        </w:rPr>
        <w:t xml:space="preserve"> </w:t>
      </w:r>
      <w:r w:rsidDel="00000000" w:rsidR="00000000" w:rsidRPr="00000000">
        <w:rPr>
          <w:rFonts w:ascii="Crimson Pro" w:cs="Crimson Pro" w:eastAsia="Crimson Pro" w:hAnsi="Crimson Pro"/>
          <w:i w:val="1"/>
          <w:sz w:val="20"/>
          <w:szCs w:val="20"/>
          <w:rtl w:val="0"/>
        </w:rPr>
        <w:t xml:space="preserve">See</w:t>
      </w:r>
      <w:r w:rsidDel="00000000" w:rsidR="00000000" w:rsidRPr="00000000">
        <w:rPr>
          <w:rFonts w:ascii="Crimson Pro" w:cs="Crimson Pro" w:eastAsia="Crimson Pro" w:hAnsi="Crimson Pro"/>
          <w:sz w:val="20"/>
          <w:szCs w:val="20"/>
          <w:rtl w:val="0"/>
        </w:rPr>
        <w:t xml:space="preserve"> Kathryn A. Sabbath, Erasing the “Scarlet E” of Eviction Records, The Appeal, Apr. 12, 2021, </w:t>
      </w:r>
      <w:r w:rsidDel="00000000" w:rsidR="00000000" w:rsidRPr="00000000">
        <w:rPr>
          <w:rFonts w:ascii="Crimson Pro" w:cs="Crimson Pro" w:eastAsia="Crimson Pro" w:hAnsi="Crimson Pro"/>
          <w:sz w:val="20"/>
          <w:szCs w:val="20"/>
          <w:rtl w:val="0"/>
        </w:rPr>
        <w:t xml:space="preserve">https://theappeal.org/the-lab/report/erasing-the-scarlet-e-of-eviction-records/.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jc w:val="left"/>
      <w:rPr>
        <w:rFonts w:ascii="Crimson Pro" w:cs="Crimson Pro" w:eastAsia="Crimson Pro" w:hAnsi="Crimson Pr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1" Type="http://schemas.openxmlformats.org/officeDocument/2006/relationships/font" Target="fonts/CrimsonPro-italic.ttf"/><Relationship Id="rId10" Type="http://schemas.openxmlformats.org/officeDocument/2006/relationships/font" Target="fonts/CrimsonPro-bold.ttf"/><Relationship Id="rId12" Type="http://schemas.openxmlformats.org/officeDocument/2006/relationships/font" Target="fonts/CrimsonPro-boldItalic.ttf"/><Relationship Id="rId9" Type="http://schemas.openxmlformats.org/officeDocument/2006/relationships/font" Target="fonts/CrimsonPro-regular.ttf"/><Relationship Id="rId5" Type="http://schemas.openxmlformats.org/officeDocument/2006/relationships/font" Target="fonts/Overpass-regular.ttf"/><Relationship Id="rId6" Type="http://schemas.openxmlformats.org/officeDocument/2006/relationships/font" Target="fonts/Overpass-bold.ttf"/><Relationship Id="rId7" Type="http://schemas.openxmlformats.org/officeDocument/2006/relationships/font" Target="fonts/Overpass-italic.ttf"/><Relationship Id="rId8" Type="http://schemas.openxmlformats.org/officeDocument/2006/relationships/font" Target="fonts/Overpas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