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900"/>
        </w:tabs>
        <w:spacing w:after="200" w:lineRule="auto"/>
        <w:rPr>
          <w:rFonts w:ascii="Crimson Pro" w:cs="Crimson Pro" w:eastAsia="Crimson Pro" w:hAnsi="Crimson Pro"/>
          <w:sz w:val="26"/>
          <w:szCs w:val="26"/>
        </w:rPr>
      </w:pPr>
      <w:r w:rsidDel="00000000" w:rsidR="00000000" w:rsidRPr="00000000">
        <w:rPr>
          <w:rFonts w:ascii="Crimson Pro" w:cs="Crimson Pro" w:eastAsia="Crimson Pro" w:hAnsi="Crimson Pro"/>
          <w:b w:val="1"/>
          <w:sz w:val="26"/>
          <w:szCs w:val="26"/>
          <w:rtl w:val="0"/>
        </w:rPr>
        <w:t xml:space="preserve">Date:</w:t>
      </w:r>
      <w:r w:rsidDel="00000000" w:rsidR="00000000" w:rsidRPr="00000000">
        <w:rPr>
          <w:rFonts w:ascii="Crimson Pro" w:cs="Crimson Pro" w:eastAsia="Crimson Pro" w:hAnsi="Crimson Pro"/>
          <w:sz w:val="26"/>
          <w:szCs w:val="26"/>
          <w:rtl w:val="0"/>
        </w:rPr>
        <w:t xml:space="preserve"> </w:t>
        <w:tab/>
        <w:t xml:space="preserve">July 13, 2021</w:t>
      </w:r>
    </w:p>
    <w:p w:rsidR="00000000" w:rsidDel="00000000" w:rsidP="00000000" w:rsidRDefault="00000000" w:rsidRPr="00000000" w14:paraId="00000002">
      <w:pPr>
        <w:tabs>
          <w:tab w:val="left" w:pos="900"/>
        </w:tabs>
        <w:rPr>
          <w:rFonts w:ascii="Crimson Pro" w:cs="Crimson Pro" w:eastAsia="Crimson Pro" w:hAnsi="Crimson Pro"/>
          <w:sz w:val="26"/>
          <w:szCs w:val="26"/>
        </w:rPr>
      </w:pPr>
      <w:r w:rsidDel="00000000" w:rsidR="00000000" w:rsidRPr="00000000">
        <w:rPr>
          <w:rFonts w:ascii="Crimson Pro" w:cs="Crimson Pro" w:eastAsia="Crimson Pro" w:hAnsi="Crimson Pro"/>
          <w:b w:val="1"/>
          <w:sz w:val="26"/>
          <w:szCs w:val="26"/>
          <w:rtl w:val="0"/>
        </w:rPr>
        <w:t xml:space="preserve">To: </w:t>
        <w:tab/>
      </w:r>
      <w:r w:rsidDel="00000000" w:rsidR="00000000" w:rsidRPr="00000000">
        <w:rPr>
          <w:rFonts w:ascii="Crimson Pro" w:cs="Crimson Pro" w:eastAsia="Crimson Pro" w:hAnsi="Crimson Pro"/>
          <w:sz w:val="26"/>
          <w:szCs w:val="26"/>
          <w:rtl w:val="0"/>
        </w:rPr>
        <w:t xml:space="preserve">Acting Director Dave Uejio</w:t>
      </w:r>
    </w:p>
    <w:p w:rsidR="00000000" w:rsidDel="00000000" w:rsidP="00000000" w:rsidRDefault="00000000" w:rsidRPr="00000000" w14:paraId="00000003">
      <w:pPr>
        <w:tabs>
          <w:tab w:val="left" w:pos="900"/>
        </w:tabs>
        <w:spacing w:after="200" w:lineRule="auto"/>
        <w:rPr>
          <w:rFonts w:ascii="Crimson Pro" w:cs="Crimson Pro" w:eastAsia="Crimson Pro" w:hAnsi="Crimson Pro"/>
          <w:sz w:val="26"/>
          <w:szCs w:val="26"/>
        </w:rPr>
      </w:pPr>
      <w:r w:rsidDel="00000000" w:rsidR="00000000" w:rsidRPr="00000000">
        <w:rPr>
          <w:rFonts w:ascii="Crimson Pro" w:cs="Crimson Pro" w:eastAsia="Crimson Pro" w:hAnsi="Crimson Pro"/>
          <w:sz w:val="26"/>
          <w:szCs w:val="26"/>
          <w:rtl w:val="0"/>
        </w:rPr>
        <w:tab/>
        <w:t xml:space="preserve">Consumer Financial Protection Bureau (CFPB)</w:t>
      </w:r>
    </w:p>
    <w:p w:rsidR="00000000" w:rsidDel="00000000" w:rsidP="00000000" w:rsidRDefault="00000000" w:rsidRPr="00000000" w14:paraId="00000004">
      <w:pPr>
        <w:tabs>
          <w:tab w:val="left" w:pos="900"/>
          <w:tab w:val="left" w:pos="900"/>
        </w:tabs>
        <w:ind w:firstLine="720"/>
        <w:rPr>
          <w:rFonts w:ascii="Crimson Pro" w:cs="Crimson Pro" w:eastAsia="Crimson Pro" w:hAnsi="Crimson Pro"/>
          <w:sz w:val="26"/>
          <w:szCs w:val="26"/>
        </w:rPr>
      </w:pPr>
      <w:r w:rsidDel="00000000" w:rsidR="00000000" w:rsidRPr="00000000">
        <w:rPr>
          <w:rFonts w:ascii="Crimson Pro" w:cs="Crimson Pro" w:eastAsia="Crimson Pro" w:hAnsi="Crimson Pro"/>
          <w:sz w:val="26"/>
          <w:szCs w:val="26"/>
          <w:rtl w:val="0"/>
        </w:rPr>
        <w:tab/>
        <w:t xml:space="preserve">Chair Jerome H. Powell</w:t>
      </w:r>
    </w:p>
    <w:p w:rsidR="00000000" w:rsidDel="00000000" w:rsidP="00000000" w:rsidRDefault="00000000" w:rsidRPr="00000000" w14:paraId="00000005">
      <w:pPr>
        <w:tabs>
          <w:tab w:val="left" w:pos="900"/>
          <w:tab w:val="left" w:pos="900"/>
        </w:tabs>
        <w:spacing w:after="200" w:lineRule="auto"/>
        <w:ind w:firstLine="720"/>
        <w:rPr>
          <w:rFonts w:ascii="Crimson Pro" w:cs="Crimson Pro" w:eastAsia="Crimson Pro" w:hAnsi="Crimson Pro"/>
          <w:sz w:val="26"/>
          <w:szCs w:val="26"/>
        </w:rPr>
      </w:pPr>
      <w:r w:rsidDel="00000000" w:rsidR="00000000" w:rsidRPr="00000000">
        <w:rPr>
          <w:rFonts w:ascii="Crimson Pro" w:cs="Crimson Pro" w:eastAsia="Crimson Pro" w:hAnsi="Crimson Pro"/>
          <w:sz w:val="26"/>
          <w:szCs w:val="26"/>
          <w:rtl w:val="0"/>
        </w:rPr>
        <w:tab/>
        <w:t xml:space="preserve">Board of Governors of the Federal Reserve System</w:t>
      </w:r>
    </w:p>
    <w:p w:rsidR="00000000" w:rsidDel="00000000" w:rsidP="00000000" w:rsidRDefault="00000000" w:rsidRPr="00000000" w14:paraId="00000006">
      <w:pPr>
        <w:tabs>
          <w:tab w:val="left" w:pos="900"/>
        </w:tabs>
        <w:ind w:firstLine="720"/>
        <w:rPr>
          <w:rFonts w:ascii="Crimson Pro" w:cs="Crimson Pro" w:eastAsia="Crimson Pro" w:hAnsi="Crimson Pro"/>
          <w:sz w:val="26"/>
          <w:szCs w:val="26"/>
        </w:rPr>
      </w:pPr>
      <w:r w:rsidDel="00000000" w:rsidR="00000000" w:rsidRPr="00000000">
        <w:rPr>
          <w:rFonts w:ascii="Crimson Pro" w:cs="Crimson Pro" w:eastAsia="Crimson Pro" w:hAnsi="Crimson Pro"/>
          <w:sz w:val="26"/>
          <w:szCs w:val="26"/>
          <w:rtl w:val="0"/>
        </w:rPr>
        <w:tab/>
        <w:t xml:space="preserve">Chair Jelena McWilliams</w:t>
      </w:r>
    </w:p>
    <w:p w:rsidR="00000000" w:rsidDel="00000000" w:rsidP="00000000" w:rsidRDefault="00000000" w:rsidRPr="00000000" w14:paraId="00000007">
      <w:pPr>
        <w:tabs>
          <w:tab w:val="left" w:pos="900"/>
        </w:tabs>
        <w:spacing w:after="200" w:lineRule="auto"/>
        <w:ind w:firstLine="720"/>
        <w:rPr>
          <w:rFonts w:ascii="Crimson Pro" w:cs="Crimson Pro" w:eastAsia="Crimson Pro" w:hAnsi="Crimson Pro"/>
          <w:sz w:val="26"/>
          <w:szCs w:val="26"/>
        </w:rPr>
      </w:pPr>
      <w:r w:rsidDel="00000000" w:rsidR="00000000" w:rsidRPr="00000000">
        <w:rPr>
          <w:rFonts w:ascii="Crimson Pro" w:cs="Crimson Pro" w:eastAsia="Crimson Pro" w:hAnsi="Crimson Pro"/>
          <w:sz w:val="26"/>
          <w:szCs w:val="26"/>
          <w:rtl w:val="0"/>
        </w:rPr>
        <w:tab/>
        <w:t xml:space="preserve">Federal Deposit Insurance Corporation</w:t>
      </w:r>
    </w:p>
    <w:p w:rsidR="00000000" w:rsidDel="00000000" w:rsidP="00000000" w:rsidRDefault="00000000" w:rsidRPr="00000000" w14:paraId="00000008">
      <w:pPr>
        <w:tabs>
          <w:tab w:val="left" w:pos="900"/>
        </w:tabs>
        <w:ind w:firstLine="720"/>
        <w:rPr>
          <w:rFonts w:ascii="Crimson Pro" w:cs="Crimson Pro" w:eastAsia="Crimson Pro" w:hAnsi="Crimson Pro"/>
          <w:sz w:val="26"/>
          <w:szCs w:val="26"/>
        </w:rPr>
      </w:pPr>
      <w:r w:rsidDel="00000000" w:rsidR="00000000" w:rsidRPr="00000000">
        <w:rPr>
          <w:rFonts w:ascii="Crimson Pro" w:cs="Crimson Pro" w:eastAsia="Crimson Pro" w:hAnsi="Crimson Pro"/>
          <w:sz w:val="26"/>
          <w:szCs w:val="26"/>
          <w:rtl w:val="0"/>
        </w:rPr>
        <w:tab/>
        <w:t xml:space="preserve">Chair Todd M. Harper</w:t>
      </w:r>
    </w:p>
    <w:p w:rsidR="00000000" w:rsidDel="00000000" w:rsidP="00000000" w:rsidRDefault="00000000" w:rsidRPr="00000000" w14:paraId="00000009">
      <w:pPr>
        <w:tabs>
          <w:tab w:val="left" w:pos="900"/>
        </w:tabs>
        <w:spacing w:after="200" w:lineRule="auto"/>
        <w:ind w:firstLine="720"/>
        <w:rPr>
          <w:rFonts w:ascii="Crimson Pro" w:cs="Crimson Pro" w:eastAsia="Crimson Pro" w:hAnsi="Crimson Pro"/>
          <w:sz w:val="26"/>
          <w:szCs w:val="26"/>
        </w:rPr>
      </w:pPr>
      <w:r w:rsidDel="00000000" w:rsidR="00000000" w:rsidRPr="00000000">
        <w:rPr>
          <w:rFonts w:ascii="Crimson Pro" w:cs="Crimson Pro" w:eastAsia="Crimson Pro" w:hAnsi="Crimson Pro"/>
          <w:sz w:val="26"/>
          <w:szCs w:val="26"/>
          <w:rtl w:val="0"/>
        </w:rPr>
        <w:tab/>
        <w:t xml:space="preserve">Board of Directors, National Credit Union Administration</w:t>
      </w:r>
    </w:p>
    <w:p w:rsidR="00000000" w:rsidDel="00000000" w:rsidP="00000000" w:rsidRDefault="00000000" w:rsidRPr="00000000" w14:paraId="0000000A">
      <w:pPr>
        <w:tabs>
          <w:tab w:val="left" w:pos="900"/>
        </w:tabs>
        <w:spacing w:after="200" w:lineRule="auto"/>
        <w:ind w:left="0" w:firstLine="0"/>
        <w:rPr>
          <w:rFonts w:ascii="Crimson Pro" w:cs="Crimson Pro" w:eastAsia="Crimson Pro" w:hAnsi="Crimson Pro"/>
          <w:sz w:val="26"/>
          <w:szCs w:val="26"/>
        </w:rPr>
      </w:pPr>
      <w:r w:rsidDel="00000000" w:rsidR="00000000" w:rsidRPr="00000000">
        <w:rPr>
          <w:rFonts w:ascii="Crimson Pro" w:cs="Crimson Pro" w:eastAsia="Crimson Pro" w:hAnsi="Crimson Pro"/>
          <w:sz w:val="26"/>
          <w:szCs w:val="26"/>
          <w:rtl w:val="0"/>
        </w:rPr>
        <w:tab/>
        <w:t xml:space="preserve">Acting Comptroller of the Currency Michael J. Hsu </w:t>
        <w:br w:type="textWrapping"/>
        <w:tab/>
        <w:t xml:space="preserve">Office of the Comptroller of the Currency, U.S. Department of the Treasury</w:t>
      </w:r>
    </w:p>
    <w:p w:rsidR="00000000" w:rsidDel="00000000" w:rsidP="00000000" w:rsidRDefault="00000000" w:rsidRPr="00000000" w14:paraId="0000000B">
      <w:pPr>
        <w:tabs>
          <w:tab w:val="left" w:pos="900"/>
        </w:tabs>
        <w:spacing w:after="200" w:lineRule="auto"/>
        <w:ind w:firstLine="720"/>
        <w:rPr>
          <w:rFonts w:ascii="Crimson Pro" w:cs="Crimson Pro" w:eastAsia="Crimson Pro" w:hAnsi="Crimson Pro"/>
          <w:sz w:val="26"/>
          <w:szCs w:val="26"/>
        </w:rPr>
      </w:pPr>
      <w:r w:rsidDel="00000000" w:rsidR="00000000" w:rsidRPr="00000000">
        <w:rPr>
          <w:rFonts w:ascii="Crimson Pro" w:cs="Crimson Pro" w:eastAsia="Crimson Pro" w:hAnsi="Crimson Pro"/>
          <w:sz w:val="26"/>
          <w:szCs w:val="26"/>
          <w:rtl w:val="0"/>
        </w:rPr>
        <w:tab/>
        <w:t xml:space="preserve">Acting Director Sandra L. Thompson</w:t>
        <w:br w:type="textWrapping"/>
        <w:tab/>
        <w:t xml:space="preserve">Federal Housing Finance Agency</w:t>
      </w:r>
    </w:p>
    <w:p w:rsidR="00000000" w:rsidDel="00000000" w:rsidP="00000000" w:rsidRDefault="00000000" w:rsidRPr="00000000" w14:paraId="0000000C">
      <w:pPr>
        <w:tabs>
          <w:tab w:val="left" w:pos="900"/>
        </w:tabs>
        <w:ind w:left="0" w:firstLine="0"/>
        <w:rPr>
          <w:rFonts w:ascii="Crimson Pro" w:cs="Crimson Pro" w:eastAsia="Crimson Pro" w:hAnsi="Crimson Pro"/>
          <w:sz w:val="26"/>
          <w:szCs w:val="26"/>
        </w:rPr>
      </w:pPr>
      <w:r w:rsidDel="00000000" w:rsidR="00000000" w:rsidRPr="00000000">
        <w:rPr>
          <w:rFonts w:ascii="Crimson Pro" w:cs="Crimson Pro" w:eastAsia="Crimson Pro" w:hAnsi="Crimson Pro"/>
          <w:sz w:val="26"/>
          <w:szCs w:val="26"/>
          <w:rtl w:val="0"/>
        </w:rPr>
        <w:tab/>
        <w:t xml:space="preserve">Secretary Marcia L. Fudge</w:t>
      </w:r>
    </w:p>
    <w:p w:rsidR="00000000" w:rsidDel="00000000" w:rsidP="00000000" w:rsidRDefault="00000000" w:rsidRPr="00000000" w14:paraId="0000000D">
      <w:pPr>
        <w:tabs>
          <w:tab w:val="left" w:pos="900"/>
        </w:tabs>
        <w:spacing w:after="200" w:lineRule="auto"/>
        <w:ind w:firstLine="720"/>
        <w:rPr>
          <w:rFonts w:ascii="Crimson Pro" w:cs="Crimson Pro" w:eastAsia="Crimson Pro" w:hAnsi="Crimson Pro"/>
          <w:sz w:val="26"/>
          <w:szCs w:val="26"/>
        </w:rPr>
      </w:pPr>
      <w:r w:rsidDel="00000000" w:rsidR="00000000" w:rsidRPr="00000000">
        <w:rPr>
          <w:rFonts w:ascii="Crimson Pro" w:cs="Crimson Pro" w:eastAsia="Crimson Pro" w:hAnsi="Crimson Pro"/>
          <w:sz w:val="26"/>
          <w:szCs w:val="26"/>
          <w:rtl w:val="0"/>
        </w:rPr>
        <w:tab/>
        <w:t xml:space="preserve">U.S. Department of Housing and Urban Development</w:t>
      </w:r>
    </w:p>
    <w:p w:rsidR="00000000" w:rsidDel="00000000" w:rsidP="00000000" w:rsidRDefault="00000000" w:rsidRPr="00000000" w14:paraId="0000000E">
      <w:pPr>
        <w:tabs>
          <w:tab w:val="left" w:pos="900"/>
        </w:tabs>
        <w:ind w:left="0" w:firstLine="0"/>
        <w:rPr>
          <w:rFonts w:ascii="Crimson Pro" w:cs="Crimson Pro" w:eastAsia="Crimson Pro" w:hAnsi="Crimson Pro"/>
          <w:sz w:val="26"/>
          <w:szCs w:val="26"/>
        </w:rPr>
      </w:pPr>
      <w:r w:rsidDel="00000000" w:rsidR="00000000" w:rsidRPr="00000000">
        <w:rPr>
          <w:rFonts w:ascii="Crimson Pro" w:cs="Crimson Pro" w:eastAsia="Crimson Pro" w:hAnsi="Crimson Pro"/>
          <w:sz w:val="26"/>
          <w:szCs w:val="26"/>
          <w:rtl w:val="0"/>
        </w:rPr>
        <w:tab/>
        <w:t xml:space="preserve">Chair Lina Khan</w:t>
      </w:r>
    </w:p>
    <w:p w:rsidR="00000000" w:rsidDel="00000000" w:rsidP="00000000" w:rsidRDefault="00000000" w:rsidRPr="00000000" w14:paraId="0000000F">
      <w:pPr>
        <w:tabs>
          <w:tab w:val="left" w:pos="900"/>
        </w:tabs>
        <w:spacing w:after="200" w:lineRule="auto"/>
        <w:ind w:firstLine="720"/>
        <w:rPr>
          <w:rFonts w:ascii="Crimson Pro" w:cs="Crimson Pro" w:eastAsia="Crimson Pro" w:hAnsi="Crimson Pro"/>
          <w:sz w:val="26"/>
          <w:szCs w:val="26"/>
        </w:rPr>
      </w:pPr>
      <w:r w:rsidDel="00000000" w:rsidR="00000000" w:rsidRPr="00000000">
        <w:rPr>
          <w:rFonts w:ascii="Crimson Pro" w:cs="Crimson Pro" w:eastAsia="Crimson Pro" w:hAnsi="Crimson Pro"/>
          <w:sz w:val="26"/>
          <w:szCs w:val="26"/>
          <w:rtl w:val="0"/>
        </w:rPr>
        <w:tab/>
        <w:t xml:space="preserve">Federal Trade Commission</w:t>
      </w:r>
    </w:p>
    <w:p w:rsidR="00000000" w:rsidDel="00000000" w:rsidP="00000000" w:rsidRDefault="00000000" w:rsidRPr="00000000" w14:paraId="00000010">
      <w:pPr>
        <w:tabs>
          <w:tab w:val="left" w:pos="900"/>
        </w:tabs>
        <w:ind w:firstLine="720"/>
        <w:rPr>
          <w:rFonts w:ascii="Crimson Pro" w:cs="Crimson Pro" w:eastAsia="Crimson Pro" w:hAnsi="Crimson Pro"/>
          <w:sz w:val="26"/>
          <w:szCs w:val="26"/>
        </w:rPr>
      </w:pPr>
      <w:r w:rsidDel="00000000" w:rsidR="00000000" w:rsidRPr="00000000">
        <w:rPr>
          <w:rFonts w:ascii="Crimson Pro" w:cs="Crimson Pro" w:eastAsia="Crimson Pro" w:hAnsi="Crimson Pro"/>
          <w:sz w:val="26"/>
          <w:szCs w:val="26"/>
          <w:rtl w:val="0"/>
        </w:rPr>
        <w:tab/>
        <w:t xml:space="preserve">Assistant Attorney General Kristen Clarke</w:t>
      </w:r>
    </w:p>
    <w:p w:rsidR="00000000" w:rsidDel="00000000" w:rsidP="00000000" w:rsidRDefault="00000000" w:rsidRPr="00000000" w14:paraId="00000011">
      <w:pPr>
        <w:tabs>
          <w:tab w:val="left" w:pos="900"/>
        </w:tabs>
        <w:spacing w:after="200" w:lineRule="auto"/>
        <w:ind w:firstLine="720"/>
        <w:rPr>
          <w:rFonts w:ascii="Crimson Pro" w:cs="Crimson Pro" w:eastAsia="Crimson Pro" w:hAnsi="Crimson Pro"/>
          <w:sz w:val="26"/>
          <w:szCs w:val="26"/>
        </w:rPr>
      </w:pPr>
      <w:r w:rsidDel="00000000" w:rsidR="00000000" w:rsidRPr="00000000">
        <w:rPr>
          <w:rFonts w:ascii="Crimson Pro" w:cs="Crimson Pro" w:eastAsia="Crimson Pro" w:hAnsi="Crimson Pro"/>
          <w:sz w:val="26"/>
          <w:szCs w:val="26"/>
          <w:rtl w:val="0"/>
        </w:rPr>
        <w:tab/>
        <w:t xml:space="preserve">Civil Rights Division, U.S. Department of Justice</w:t>
      </w:r>
    </w:p>
    <w:p w:rsidR="00000000" w:rsidDel="00000000" w:rsidP="00000000" w:rsidRDefault="00000000" w:rsidRPr="00000000" w14:paraId="00000012">
      <w:pPr>
        <w:tabs>
          <w:tab w:val="left" w:pos="900"/>
        </w:tabs>
        <w:ind w:left="0" w:firstLine="0"/>
        <w:rPr>
          <w:rFonts w:ascii="Crimson Pro" w:cs="Crimson Pro" w:eastAsia="Crimson Pro" w:hAnsi="Crimson Pro"/>
          <w:sz w:val="26"/>
          <w:szCs w:val="26"/>
        </w:rPr>
      </w:pPr>
      <w:r w:rsidDel="00000000" w:rsidR="00000000" w:rsidRPr="00000000">
        <w:rPr>
          <w:rFonts w:ascii="Crimson Pro" w:cs="Crimson Pro" w:eastAsia="Crimson Pro" w:hAnsi="Crimson Pro"/>
          <w:b w:val="1"/>
          <w:sz w:val="26"/>
          <w:szCs w:val="26"/>
          <w:rtl w:val="0"/>
        </w:rPr>
        <w:t xml:space="preserve">From:</w:t>
      </w:r>
      <w:r w:rsidDel="00000000" w:rsidR="00000000" w:rsidRPr="00000000">
        <w:rPr>
          <w:rFonts w:ascii="Crimson Pro" w:cs="Crimson Pro" w:eastAsia="Crimson Pro" w:hAnsi="Crimson Pro"/>
          <w:sz w:val="26"/>
          <w:szCs w:val="26"/>
          <w:rtl w:val="0"/>
        </w:rPr>
        <w:t xml:space="preserve"> </w:t>
        <w:tab/>
        <w:t xml:space="preserve">American Civil Liberties Union</w:t>
      </w:r>
    </w:p>
    <w:p w:rsidR="00000000" w:rsidDel="00000000" w:rsidP="00000000" w:rsidRDefault="00000000" w:rsidRPr="00000000" w14:paraId="00000013">
      <w:pPr>
        <w:tabs>
          <w:tab w:val="left" w:pos="900"/>
          <w:tab w:val="left" w:pos="900"/>
        </w:tabs>
        <w:rPr>
          <w:rFonts w:ascii="Crimson Pro" w:cs="Crimson Pro" w:eastAsia="Crimson Pro" w:hAnsi="Crimson Pro"/>
          <w:sz w:val="26"/>
          <w:szCs w:val="26"/>
        </w:rPr>
      </w:pPr>
      <w:r w:rsidDel="00000000" w:rsidR="00000000" w:rsidRPr="00000000">
        <w:rPr>
          <w:rFonts w:ascii="Crimson Pro" w:cs="Crimson Pro" w:eastAsia="Crimson Pro" w:hAnsi="Crimson Pro"/>
          <w:sz w:val="26"/>
          <w:szCs w:val="26"/>
          <w:rtl w:val="0"/>
        </w:rPr>
        <w:tab/>
        <w:t xml:space="preserve">Center for Democracy &amp; Technology</w:t>
      </w:r>
    </w:p>
    <w:p w:rsidR="00000000" w:rsidDel="00000000" w:rsidP="00000000" w:rsidRDefault="00000000" w:rsidRPr="00000000" w14:paraId="00000014">
      <w:pPr>
        <w:tabs>
          <w:tab w:val="left" w:pos="900"/>
        </w:tabs>
        <w:ind w:firstLine="720"/>
        <w:rPr>
          <w:rFonts w:ascii="Crimson Pro" w:cs="Crimson Pro" w:eastAsia="Crimson Pro" w:hAnsi="Crimson Pro"/>
          <w:sz w:val="26"/>
          <w:szCs w:val="26"/>
        </w:rPr>
      </w:pPr>
      <w:r w:rsidDel="00000000" w:rsidR="00000000" w:rsidRPr="00000000">
        <w:rPr>
          <w:rFonts w:ascii="Crimson Pro" w:cs="Crimson Pro" w:eastAsia="Crimson Pro" w:hAnsi="Crimson Pro"/>
          <w:sz w:val="26"/>
          <w:szCs w:val="26"/>
          <w:rtl w:val="0"/>
        </w:rPr>
        <w:tab/>
        <w:t xml:space="preserve">Center on Privacy &amp; Technology at Georgetown Law</w:t>
      </w:r>
    </w:p>
    <w:p w:rsidR="00000000" w:rsidDel="00000000" w:rsidP="00000000" w:rsidRDefault="00000000" w:rsidRPr="00000000" w14:paraId="00000015">
      <w:pPr>
        <w:tabs>
          <w:tab w:val="left" w:pos="900"/>
        </w:tabs>
        <w:ind w:firstLine="720"/>
        <w:rPr>
          <w:rFonts w:ascii="Crimson Pro" w:cs="Crimson Pro" w:eastAsia="Crimson Pro" w:hAnsi="Crimson Pro"/>
          <w:sz w:val="26"/>
          <w:szCs w:val="26"/>
        </w:rPr>
      </w:pPr>
      <w:r w:rsidDel="00000000" w:rsidR="00000000" w:rsidRPr="00000000">
        <w:rPr>
          <w:rFonts w:ascii="Crimson Pro" w:cs="Crimson Pro" w:eastAsia="Crimson Pro" w:hAnsi="Crimson Pro"/>
          <w:sz w:val="26"/>
          <w:szCs w:val="26"/>
          <w:rtl w:val="0"/>
        </w:rPr>
        <w:tab/>
        <w:t xml:space="preserve">Lawyers’ Committee for Civil Rights Under Law</w:t>
      </w:r>
    </w:p>
    <w:p w:rsidR="00000000" w:rsidDel="00000000" w:rsidP="00000000" w:rsidRDefault="00000000" w:rsidRPr="00000000" w14:paraId="00000016">
      <w:pPr>
        <w:tabs>
          <w:tab w:val="left" w:pos="900"/>
        </w:tabs>
        <w:ind w:firstLine="720"/>
        <w:rPr>
          <w:rFonts w:ascii="Crimson Pro" w:cs="Crimson Pro" w:eastAsia="Crimson Pro" w:hAnsi="Crimson Pro"/>
          <w:sz w:val="26"/>
          <w:szCs w:val="26"/>
        </w:rPr>
      </w:pPr>
      <w:r w:rsidDel="00000000" w:rsidR="00000000" w:rsidRPr="00000000">
        <w:rPr>
          <w:rFonts w:ascii="Crimson Pro" w:cs="Crimson Pro" w:eastAsia="Crimson Pro" w:hAnsi="Crimson Pro"/>
          <w:sz w:val="26"/>
          <w:szCs w:val="26"/>
          <w:rtl w:val="0"/>
        </w:rPr>
        <w:tab/>
        <w:t xml:space="preserve">National Consumer Law Center (on behalf of its low-income clients)</w:t>
      </w:r>
    </w:p>
    <w:p w:rsidR="00000000" w:rsidDel="00000000" w:rsidP="00000000" w:rsidRDefault="00000000" w:rsidRPr="00000000" w14:paraId="00000017">
      <w:pPr>
        <w:tabs>
          <w:tab w:val="left" w:pos="900"/>
        </w:tabs>
        <w:ind w:firstLine="720"/>
        <w:rPr>
          <w:rFonts w:ascii="Crimson Pro" w:cs="Crimson Pro" w:eastAsia="Crimson Pro" w:hAnsi="Crimson Pro"/>
          <w:sz w:val="26"/>
          <w:szCs w:val="26"/>
        </w:rPr>
      </w:pPr>
      <w:r w:rsidDel="00000000" w:rsidR="00000000" w:rsidRPr="00000000">
        <w:rPr>
          <w:rFonts w:ascii="Crimson Pro" w:cs="Crimson Pro" w:eastAsia="Crimson Pro" w:hAnsi="Crimson Pro"/>
          <w:sz w:val="26"/>
          <w:szCs w:val="26"/>
          <w:rtl w:val="0"/>
        </w:rPr>
        <w:tab/>
        <w:t xml:space="preserve">National Fair Housing Alliance</w:t>
      </w:r>
    </w:p>
    <w:p w:rsidR="00000000" w:rsidDel="00000000" w:rsidP="00000000" w:rsidRDefault="00000000" w:rsidRPr="00000000" w14:paraId="00000018">
      <w:pPr>
        <w:tabs>
          <w:tab w:val="left" w:pos="900"/>
        </w:tabs>
        <w:spacing w:after="200" w:lineRule="auto"/>
        <w:ind w:firstLine="720"/>
        <w:rPr>
          <w:rFonts w:ascii="Crimson Pro" w:cs="Crimson Pro" w:eastAsia="Crimson Pro" w:hAnsi="Crimson Pro"/>
          <w:sz w:val="26"/>
          <w:szCs w:val="26"/>
          <w:highlight w:val="yellow"/>
        </w:rPr>
      </w:pPr>
      <w:r w:rsidDel="00000000" w:rsidR="00000000" w:rsidRPr="00000000">
        <w:rPr>
          <w:rFonts w:ascii="Crimson Pro" w:cs="Crimson Pro" w:eastAsia="Crimson Pro" w:hAnsi="Crimson Pro"/>
          <w:sz w:val="26"/>
          <w:szCs w:val="26"/>
          <w:rtl w:val="0"/>
        </w:rPr>
        <w:tab/>
        <w:t xml:space="preserve">Upturn</w:t>
      </w:r>
      <w:r w:rsidDel="00000000" w:rsidR="00000000" w:rsidRPr="00000000">
        <w:rPr>
          <w:rtl w:val="0"/>
        </w:rPr>
      </w:r>
    </w:p>
    <w:p w:rsidR="00000000" w:rsidDel="00000000" w:rsidP="00000000" w:rsidRDefault="00000000" w:rsidRPr="00000000" w14:paraId="00000019">
      <w:pPr>
        <w:spacing w:after="200" w:lineRule="auto"/>
        <w:rPr>
          <w:rFonts w:ascii="Crimson Pro" w:cs="Crimson Pro" w:eastAsia="Crimson Pro" w:hAnsi="Crimson Pro"/>
          <w:i w:val="1"/>
          <w:sz w:val="26"/>
          <w:szCs w:val="26"/>
        </w:rPr>
      </w:pPr>
      <w:r w:rsidDel="00000000" w:rsidR="00000000" w:rsidRPr="00000000">
        <w:rPr>
          <w:rFonts w:ascii="Crimson Pro" w:cs="Crimson Pro" w:eastAsia="Crimson Pro" w:hAnsi="Crimson Pro"/>
          <w:i w:val="1"/>
          <w:sz w:val="26"/>
          <w:szCs w:val="26"/>
          <w:rtl w:val="0"/>
        </w:rPr>
        <w:t xml:space="preserve">Via email</w:t>
      </w:r>
    </w:p>
    <w:p w:rsidR="00000000" w:rsidDel="00000000" w:rsidP="00000000" w:rsidRDefault="00000000" w:rsidRPr="00000000" w14:paraId="0000001A">
      <w:pPr>
        <w:spacing w:after="200" w:lineRule="auto"/>
        <w:rPr>
          <w:rFonts w:ascii="Crimson Pro" w:cs="Crimson Pro" w:eastAsia="Crimson Pro" w:hAnsi="Crimson Pro"/>
          <w:b w:val="1"/>
          <w:sz w:val="26"/>
          <w:szCs w:val="26"/>
        </w:rPr>
      </w:pPr>
      <w:r w:rsidDel="00000000" w:rsidR="00000000" w:rsidRPr="00000000">
        <w:rPr>
          <w:rFonts w:ascii="Crimson Pro" w:cs="Crimson Pro" w:eastAsia="Crimson Pro" w:hAnsi="Crimson Pro"/>
          <w:b w:val="1"/>
          <w:sz w:val="26"/>
          <w:szCs w:val="26"/>
          <w:rtl w:val="0"/>
        </w:rPr>
        <w:t xml:space="preserve">RE: </w:t>
        <w:tab/>
        <w:t xml:space="preserve">Addressing Technology’s Role in Financial Services Discrimination</w:t>
      </w:r>
    </w:p>
    <w:p w:rsidR="00000000" w:rsidDel="00000000" w:rsidP="00000000" w:rsidRDefault="00000000" w:rsidRPr="00000000" w14:paraId="0000001B">
      <w:pPr>
        <w:rPr>
          <w:rFonts w:ascii="Crimson Pro" w:cs="Crimson Pro" w:eastAsia="Crimson Pro" w:hAnsi="Crimson Pro"/>
          <w:sz w:val="26"/>
          <w:szCs w:val="26"/>
        </w:rPr>
      </w:pPr>
      <w:r w:rsidDel="00000000" w:rsidR="00000000" w:rsidRPr="00000000">
        <w:rPr>
          <w:rFonts w:ascii="Crimson Pro" w:cs="Crimson Pro" w:eastAsia="Crimson Pro" w:hAnsi="Crimson Pro"/>
          <w:sz w:val="26"/>
          <w:szCs w:val="26"/>
          <w:rtl w:val="0"/>
        </w:rPr>
        <w:t xml:space="preserve">Too often, technology amplifies and exacerbates racial, gender, disability, economic, and intersectional inequity in our society. Governments and corporations, at the national, state, and local level, are using computer software, statistical models, assessment instruments, and other tools to make important decisions in areas such as employment, health, credit, housing, immigration, and the criminal legal system. In light of these developments, policymakers must take steps to </w:t>
      </w:r>
      <w:r w:rsidDel="00000000" w:rsidR="00000000" w:rsidRPr="00000000">
        <w:rPr>
          <w:rFonts w:ascii="Crimson Pro" w:cs="Crimson Pro" w:eastAsia="Crimson Pro" w:hAnsi="Crimson Pro"/>
          <w:sz w:val="26"/>
          <w:szCs w:val="26"/>
          <w:rtl w:val="0"/>
        </w:rPr>
        <w:t xml:space="preserve">ensure non-discriminatory and equitable outcomes for all who participate in the financial services market</w:t>
      </w:r>
      <w:r w:rsidDel="00000000" w:rsidR="00000000" w:rsidRPr="00000000">
        <w:rPr>
          <w:rFonts w:ascii="Crimson Pro" w:cs="Crimson Pro" w:eastAsia="Crimson Pro" w:hAnsi="Crimson Pro"/>
          <w:sz w:val="26"/>
          <w:szCs w:val="26"/>
          <w:rtl w:val="0"/>
        </w:rPr>
        <w:t xml:space="preserve">.</w:t>
      </w:r>
    </w:p>
    <w:p w:rsidR="00000000" w:rsidDel="00000000" w:rsidP="00000000" w:rsidRDefault="00000000" w:rsidRPr="00000000" w14:paraId="0000001C">
      <w:pPr>
        <w:rPr>
          <w:rFonts w:ascii="Crimson Pro" w:cs="Crimson Pro" w:eastAsia="Crimson Pro" w:hAnsi="Crimson Pro"/>
          <w:sz w:val="26"/>
          <w:szCs w:val="26"/>
        </w:rPr>
      </w:pPr>
      <w:r w:rsidDel="00000000" w:rsidR="00000000" w:rsidRPr="00000000">
        <w:rPr>
          <w:rtl w:val="0"/>
        </w:rPr>
      </w:r>
    </w:p>
    <w:p w:rsidR="00000000" w:rsidDel="00000000" w:rsidP="00000000" w:rsidRDefault="00000000" w:rsidRPr="00000000" w14:paraId="0000001D">
      <w:pPr>
        <w:rPr>
          <w:rFonts w:ascii="Crimson Pro" w:cs="Crimson Pro" w:eastAsia="Crimson Pro" w:hAnsi="Crimson Pro"/>
          <w:sz w:val="26"/>
          <w:szCs w:val="26"/>
        </w:rPr>
      </w:pPr>
      <w:r w:rsidDel="00000000" w:rsidR="00000000" w:rsidRPr="00000000">
        <w:rPr>
          <w:rFonts w:ascii="Crimson Pro" w:cs="Crimson Pro" w:eastAsia="Crimson Pro" w:hAnsi="Crimson Pro"/>
          <w:sz w:val="26"/>
          <w:szCs w:val="26"/>
          <w:rtl w:val="0"/>
        </w:rPr>
        <w:t xml:space="preserve">We offer the following proposals for the Biden-Harris administration and federal financial regulators for addressing the ways that technology and data can lead to discrimination in consumer credit. We urge all </w:t>
      </w:r>
      <w:r w:rsidDel="00000000" w:rsidR="00000000" w:rsidRPr="00000000">
        <w:rPr>
          <w:rFonts w:ascii="Crimson Pro" w:cs="Crimson Pro" w:eastAsia="Crimson Pro" w:hAnsi="Crimson Pro"/>
          <w:sz w:val="26"/>
          <w:szCs w:val="26"/>
          <w:rtl w:val="0"/>
        </w:rPr>
        <w:t xml:space="preserve">agencies </w:t>
      </w:r>
      <w:r w:rsidDel="00000000" w:rsidR="00000000" w:rsidRPr="00000000">
        <w:rPr>
          <w:rFonts w:ascii="Crimson Pro" w:cs="Crimson Pro" w:eastAsia="Crimson Pro" w:hAnsi="Crimson Pro"/>
          <w:sz w:val="26"/>
          <w:szCs w:val="26"/>
          <w:rtl w:val="0"/>
        </w:rPr>
        <w:t xml:space="preserve">to engage with a diverse range of stakeholders, including civil rights organizations, consumer advocates, and impacted communities, in order to receive ongoing input and feedback on these important issues. We also encourage agencies to prioritize transparency, by sharing their data, models, decisions, and proposed solutions so that all of the stakeholders can stay apprised of and comment on the potential impact of proposed actions</w:t>
      </w:r>
      <w:r w:rsidDel="00000000" w:rsidR="00000000" w:rsidRPr="00000000">
        <w:rPr>
          <w:rFonts w:ascii="Crimson Pro" w:cs="Crimson Pro" w:eastAsia="Crimson Pro" w:hAnsi="Crimson Pro"/>
          <w:sz w:val="26"/>
          <w:szCs w:val="26"/>
          <w:rtl w:val="0"/>
        </w:rPr>
        <w:t xml:space="preserve">, and by requiring financial institutions to share with the public as much information as possible regarding their systems and assessments of those systems.</w:t>
      </w:r>
      <w:r w:rsidDel="00000000" w:rsidR="00000000" w:rsidRPr="00000000">
        <w:rPr>
          <w:rFonts w:ascii="Crimson Pro" w:cs="Crimson Pro" w:eastAsia="Crimson Pro" w:hAnsi="Crimson Pro"/>
          <w:sz w:val="26"/>
          <w:szCs w:val="26"/>
          <w:rtl w:val="0"/>
        </w:rPr>
        <w:t xml:space="preserve"> We would be pleased to discuss the ideas in this memo in more detail in the weeks and months ahead.</w:t>
      </w:r>
      <w:r w:rsidDel="00000000" w:rsidR="00000000" w:rsidRPr="00000000">
        <w:rPr>
          <w:rtl w:val="0"/>
        </w:rPr>
      </w:r>
    </w:p>
    <w:p w:rsidR="00000000" w:rsidDel="00000000" w:rsidP="00000000" w:rsidRDefault="00000000" w:rsidRPr="00000000" w14:paraId="0000001E">
      <w:pPr>
        <w:rPr>
          <w:rFonts w:ascii="Crimson Pro" w:cs="Crimson Pro" w:eastAsia="Crimson Pro" w:hAnsi="Crimson Pro"/>
          <w:sz w:val="26"/>
          <w:szCs w:val="26"/>
        </w:rPr>
      </w:pPr>
      <w:r w:rsidDel="00000000" w:rsidR="00000000" w:rsidRPr="00000000">
        <w:rPr>
          <w:rtl w:val="0"/>
        </w:rPr>
      </w:r>
    </w:p>
    <w:p w:rsidR="00000000" w:rsidDel="00000000" w:rsidP="00000000" w:rsidRDefault="00000000" w:rsidRPr="00000000" w14:paraId="0000001F">
      <w:pPr>
        <w:rPr>
          <w:rFonts w:ascii="Overpass" w:cs="Overpass" w:eastAsia="Overpass" w:hAnsi="Overpass"/>
          <w:b w:val="1"/>
          <w:sz w:val="28"/>
          <w:szCs w:val="28"/>
        </w:rPr>
      </w:pPr>
      <w:r w:rsidDel="00000000" w:rsidR="00000000" w:rsidRPr="00000000">
        <w:rPr>
          <w:rFonts w:ascii="Overpass" w:cs="Overpass" w:eastAsia="Overpass" w:hAnsi="Overpass"/>
          <w:b w:val="1"/>
          <w:sz w:val="28"/>
          <w:szCs w:val="28"/>
          <w:rtl w:val="0"/>
        </w:rPr>
        <w:t xml:space="preserve">1. The C</w:t>
      </w:r>
      <w:r w:rsidDel="00000000" w:rsidR="00000000" w:rsidRPr="00000000">
        <w:rPr>
          <w:rFonts w:ascii="Overpass" w:cs="Overpass" w:eastAsia="Overpass" w:hAnsi="Overpass"/>
          <w:b w:val="1"/>
          <w:sz w:val="28"/>
          <w:szCs w:val="28"/>
          <w:rtl w:val="0"/>
        </w:rPr>
        <w:t xml:space="preserve">FPB and other agencies </w:t>
      </w:r>
      <w:r w:rsidDel="00000000" w:rsidR="00000000" w:rsidRPr="00000000">
        <w:rPr>
          <w:rFonts w:ascii="Overpass" w:cs="Overpass" w:eastAsia="Overpass" w:hAnsi="Overpass"/>
          <w:b w:val="1"/>
          <w:sz w:val="28"/>
          <w:szCs w:val="28"/>
          <w:rtl w:val="0"/>
        </w:rPr>
        <w:t xml:space="preserve">should ensure robust measurement and remediation of discrimination.</w:t>
      </w:r>
    </w:p>
    <w:p w:rsidR="00000000" w:rsidDel="00000000" w:rsidP="00000000" w:rsidRDefault="00000000" w:rsidRPr="00000000" w14:paraId="00000020">
      <w:pPr>
        <w:rPr>
          <w:rFonts w:ascii="Crimson Pro" w:cs="Crimson Pro" w:eastAsia="Crimson Pro" w:hAnsi="Crimson Pro"/>
          <w:sz w:val="26"/>
          <w:szCs w:val="26"/>
        </w:rPr>
      </w:pPr>
      <w:r w:rsidDel="00000000" w:rsidR="00000000" w:rsidRPr="00000000">
        <w:rPr>
          <w:rtl w:val="0"/>
        </w:rPr>
      </w:r>
    </w:p>
    <w:p w:rsidR="00000000" w:rsidDel="00000000" w:rsidP="00000000" w:rsidRDefault="00000000" w:rsidRPr="00000000" w14:paraId="00000021">
      <w:pPr>
        <w:rPr>
          <w:rFonts w:ascii="Crimson Pro" w:cs="Crimson Pro" w:eastAsia="Crimson Pro" w:hAnsi="Crimson Pro"/>
          <w:sz w:val="26"/>
          <w:szCs w:val="26"/>
        </w:rPr>
      </w:pPr>
      <w:r w:rsidDel="00000000" w:rsidR="00000000" w:rsidRPr="00000000">
        <w:rPr>
          <w:rFonts w:ascii="Crimson Pro" w:cs="Crimson Pro" w:eastAsia="Crimson Pro" w:hAnsi="Crimson Pro"/>
          <w:sz w:val="26"/>
          <w:szCs w:val="26"/>
          <w:rtl w:val="0"/>
        </w:rPr>
        <w:t xml:space="preserve">Existing civil rights laws allow agencies to analyze fair lending risk and to engage in supervisory or enforcement actions concerning the use of new technologies. For example, the </w:t>
      </w:r>
      <w:r w:rsidDel="00000000" w:rsidR="00000000" w:rsidRPr="00000000">
        <w:rPr>
          <w:rFonts w:ascii="Crimson Pro" w:cs="Crimson Pro" w:eastAsia="Crimson Pro" w:hAnsi="Crimson Pro"/>
          <w:sz w:val="26"/>
          <w:szCs w:val="26"/>
          <w:rtl w:val="0"/>
        </w:rPr>
        <w:t xml:space="preserve">Equal Credit Opportunity Act (ECOA), as implemented by Regulation B, prohibits creditor practices that have discriminatory effects unless they meet a “legitimate business need that cannot reasonably be achieved as well by means that are less disparate in their impact.”</w:t>
      </w:r>
      <w:r w:rsidDel="00000000" w:rsidR="00000000" w:rsidRPr="00000000">
        <w:rPr>
          <w:rFonts w:ascii="Crimson Pro" w:cs="Crimson Pro" w:eastAsia="Crimson Pro" w:hAnsi="Crimson Pro"/>
          <w:sz w:val="26"/>
          <w:szCs w:val="26"/>
          <w:vertAlign w:val="superscript"/>
        </w:rPr>
        <w:footnoteReference w:customMarkFollows="0" w:id="0"/>
      </w:r>
      <w:r w:rsidDel="00000000" w:rsidR="00000000" w:rsidRPr="00000000">
        <w:rPr>
          <w:rFonts w:ascii="Crimson Pro" w:cs="Crimson Pro" w:eastAsia="Crimson Pro" w:hAnsi="Crimson Pro"/>
          <w:sz w:val="26"/>
          <w:szCs w:val="26"/>
          <w:rtl w:val="0"/>
        </w:rPr>
        <w:t xml:space="preserve"> However, agencies must set clearer and more robust expectations concerning fair lending risk assessments as they pertain to technologies, and conduct in-depth reviews of financial institutions’ use of these technologies in order to more effectively supervise institutions and enforce civil rights laws.</w:t>
      </w:r>
      <w:r w:rsidDel="00000000" w:rsidR="00000000" w:rsidRPr="00000000">
        <w:rPr>
          <w:rFonts w:ascii="Crimson Pro" w:cs="Crimson Pro" w:eastAsia="Crimson Pro" w:hAnsi="Crimson Pro"/>
          <w:sz w:val="26"/>
          <w:szCs w:val="26"/>
          <w:vertAlign w:val="superscript"/>
        </w:rPr>
        <w:footnoteReference w:customMarkFollows="0" w:id="1"/>
      </w:r>
      <w:r w:rsidDel="00000000" w:rsidR="00000000" w:rsidRPr="00000000">
        <w:rPr>
          <w:rtl w:val="0"/>
        </w:rPr>
      </w:r>
    </w:p>
    <w:p w:rsidR="00000000" w:rsidDel="00000000" w:rsidP="00000000" w:rsidRDefault="00000000" w:rsidRPr="00000000" w14:paraId="00000022">
      <w:pPr>
        <w:rPr>
          <w:rFonts w:ascii="Crimson Pro" w:cs="Crimson Pro" w:eastAsia="Crimson Pro" w:hAnsi="Crimson Pro"/>
          <w:sz w:val="26"/>
          <w:szCs w:val="26"/>
        </w:rPr>
      </w:pPr>
      <w:r w:rsidDel="00000000" w:rsidR="00000000" w:rsidRPr="00000000">
        <w:rPr>
          <w:rtl w:val="0"/>
        </w:rPr>
      </w:r>
    </w:p>
    <w:p w:rsidR="00000000" w:rsidDel="00000000" w:rsidP="00000000" w:rsidRDefault="00000000" w:rsidRPr="00000000" w14:paraId="00000023">
      <w:pPr>
        <w:rPr>
          <w:rFonts w:ascii="Crimson Pro" w:cs="Crimson Pro" w:eastAsia="Crimson Pro" w:hAnsi="Crimson Pro"/>
          <w:sz w:val="26"/>
          <w:szCs w:val="26"/>
        </w:rPr>
      </w:pPr>
      <w:r w:rsidDel="00000000" w:rsidR="00000000" w:rsidRPr="00000000">
        <w:rPr>
          <w:rFonts w:ascii="Crimson Pro" w:cs="Crimson Pro" w:eastAsia="Crimson Pro" w:hAnsi="Crimson Pro"/>
          <w:sz w:val="26"/>
          <w:szCs w:val="26"/>
          <w:rtl w:val="0"/>
        </w:rPr>
        <w:t xml:space="preserve">More specifically, agencies should develop policies that:</w:t>
      </w:r>
    </w:p>
    <w:p w:rsidR="00000000" w:rsidDel="00000000" w:rsidP="00000000" w:rsidRDefault="00000000" w:rsidRPr="00000000" w14:paraId="00000024">
      <w:pPr>
        <w:rPr>
          <w:rFonts w:ascii="Crimson Pro" w:cs="Crimson Pro" w:eastAsia="Crimson Pro" w:hAnsi="Crimson Pro"/>
          <w:sz w:val="26"/>
          <w:szCs w:val="26"/>
        </w:rPr>
      </w:pPr>
      <w:r w:rsidDel="00000000" w:rsidR="00000000" w:rsidRPr="00000000">
        <w:rPr>
          <w:rtl w:val="0"/>
        </w:rPr>
      </w:r>
    </w:p>
    <w:p w:rsidR="00000000" w:rsidDel="00000000" w:rsidP="00000000" w:rsidRDefault="00000000" w:rsidRPr="00000000" w14:paraId="00000025">
      <w:pPr>
        <w:numPr>
          <w:ilvl w:val="0"/>
          <w:numId w:val="1"/>
        </w:numPr>
        <w:ind w:left="720" w:hanging="360"/>
        <w:rPr>
          <w:rFonts w:ascii="Crimson Pro" w:cs="Crimson Pro" w:eastAsia="Crimson Pro" w:hAnsi="Crimson Pro"/>
          <w:sz w:val="26"/>
          <w:szCs w:val="26"/>
          <w:u w:val="none"/>
        </w:rPr>
      </w:pPr>
      <w:r w:rsidDel="00000000" w:rsidR="00000000" w:rsidRPr="00000000">
        <w:rPr>
          <w:rFonts w:ascii="Crimson Pro" w:cs="Crimson Pro" w:eastAsia="Crimson Pro" w:hAnsi="Crimson Pro"/>
          <w:sz w:val="26"/>
          <w:szCs w:val="26"/>
          <w:rtl w:val="0"/>
        </w:rPr>
        <w:t xml:space="preserve">Set updated standards for fair lending </w:t>
      </w:r>
      <w:r w:rsidDel="00000000" w:rsidR="00000000" w:rsidRPr="00000000">
        <w:rPr>
          <w:rFonts w:ascii="Crimson Pro" w:cs="Crimson Pro" w:eastAsia="Crimson Pro" w:hAnsi="Crimson Pro"/>
          <w:sz w:val="26"/>
          <w:szCs w:val="26"/>
          <w:rtl w:val="0"/>
        </w:rPr>
        <w:t xml:space="preserve">assessments</w:t>
      </w:r>
      <w:r w:rsidDel="00000000" w:rsidR="00000000" w:rsidRPr="00000000">
        <w:rPr>
          <w:rFonts w:ascii="Crimson Pro" w:cs="Crimson Pro" w:eastAsia="Crimson Pro" w:hAnsi="Crimson Pro"/>
          <w:sz w:val="26"/>
          <w:szCs w:val="26"/>
          <w:rtl w:val="0"/>
        </w:rPr>
        <w:t xml:space="preserve">, including </w:t>
      </w:r>
      <w:r w:rsidDel="00000000" w:rsidR="00000000" w:rsidRPr="00000000">
        <w:rPr>
          <w:rFonts w:ascii="Crimson Pro" w:cs="Crimson Pro" w:eastAsia="Crimson Pro" w:hAnsi="Crimson Pro"/>
          <w:sz w:val="26"/>
          <w:szCs w:val="26"/>
          <w:rtl w:val="0"/>
        </w:rPr>
        <w:t xml:space="preserve">discrimination testing and evaluation in the conception, design, implementation, and use of models</w:t>
      </w:r>
      <w:r w:rsidDel="00000000" w:rsidR="00000000" w:rsidRPr="00000000">
        <w:rPr>
          <w:rFonts w:ascii="Crimson Pro" w:cs="Crimson Pro" w:eastAsia="Crimson Pro" w:hAnsi="Crimson Pro"/>
          <w:sz w:val="26"/>
          <w:szCs w:val="26"/>
          <w:rtl w:val="0"/>
        </w:rPr>
        <w:t xml:space="preserve">; and for what information must be detailed in documentation of fair lending risk assessments, including what testing has been conducted, in-depth information regarding training data, and documentation of adverse action notices;</w:t>
      </w:r>
    </w:p>
    <w:p w:rsidR="00000000" w:rsidDel="00000000" w:rsidP="00000000" w:rsidRDefault="00000000" w:rsidRPr="00000000" w14:paraId="00000026">
      <w:pPr>
        <w:numPr>
          <w:ilvl w:val="0"/>
          <w:numId w:val="1"/>
        </w:numPr>
        <w:ind w:left="720" w:hanging="360"/>
        <w:rPr>
          <w:rFonts w:ascii="Crimson Pro" w:cs="Crimson Pro" w:eastAsia="Crimson Pro" w:hAnsi="Crimson Pro"/>
          <w:sz w:val="26"/>
          <w:szCs w:val="26"/>
          <w:u w:val="none"/>
        </w:rPr>
      </w:pPr>
      <w:r w:rsidDel="00000000" w:rsidR="00000000" w:rsidRPr="00000000">
        <w:rPr>
          <w:rFonts w:ascii="Crimson Pro" w:cs="Crimson Pro" w:eastAsia="Crimson Pro" w:hAnsi="Crimson Pro"/>
          <w:sz w:val="26"/>
          <w:szCs w:val="26"/>
          <w:rtl w:val="0"/>
        </w:rPr>
        <w:t xml:space="preserve">Clarify that financial institutions’ fair lending assessments should be be conducted by independent actors within the institution or a third party;</w:t>
      </w:r>
    </w:p>
    <w:p w:rsidR="00000000" w:rsidDel="00000000" w:rsidP="00000000" w:rsidRDefault="00000000" w:rsidRPr="00000000" w14:paraId="00000027">
      <w:pPr>
        <w:numPr>
          <w:ilvl w:val="0"/>
          <w:numId w:val="1"/>
        </w:numPr>
        <w:ind w:left="720" w:hanging="360"/>
        <w:rPr>
          <w:rFonts w:ascii="Crimson Pro" w:cs="Crimson Pro" w:eastAsia="Crimson Pro" w:hAnsi="Crimson Pro"/>
          <w:sz w:val="26"/>
          <w:szCs w:val="26"/>
          <w:u w:val="none"/>
        </w:rPr>
      </w:pPr>
      <w:r w:rsidDel="00000000" w:rsidR="00000000" w:rsidRPr="00000000">
        <w:rPr>
          <w:rFonts w:ascii="Crimson Pro" w:cs="Crimson Pro" w:eastAsia="Crimson Pro" w:hAnsi="Crimson Pro"/>
          <w:sz w:val="26"/>
          <w:szCs w:val="26"/>
          <w:rtl w:val="0"/>
        </w:rPr>
        <w:t xml:space="preserve">State that the agencies will conduct their own fair lending risk assessments, including a review of disparate impact, business justifications, and less discriminatory alternatives;</w:t>
      </w:r>
    </w:p>
    <w:p w:rsidR="00000000" w:rsidDel="00000000" w:rsidP="00000000" w:rsidRDefault="00000000" w:rsidRPr="00000000" w14:paraId="00000028">
      <w:pPr>
        <w:numPr>
          <w:ilvl w:val="0"/>
          <w:numId w:val="1"/>
        </w:numPr>
        <w:ind w:left="720" w:hanging="360"/>
        <w:rPr>
          <w:rFonts w:ascii="Crimson Pro" w:cs="Crimson Pro" w:eastAsia="Crimson Pro" w:hAnsi="Crimson Pro"/>
          <w:sz w:val="26"/>
          <w:szCs w:val="26"/>
          <w:u w:val="none"/>
        </w:rPr>
      </w:pPr>
      <w:r w:rsidDel="00000000" w:rsidR="00000000" w:rsidRPr="00000000">
        <w:rPr>
          <w:rFonts w:ascii="Crimson Pro" w:cs="Crimson Pro" w:eastAsia="Crimson Pro" w:hAnsi="Crimson Pro"/>
          <w:sz w:val="26"/>
          <w:szCs w:val="26"/>
          <w:rtl w:val="0"/>
        </w:rPr>
        <w:t xml:space="preserve">Define “model risk” to include the risk of discriminatory or inequitable outcomes for consumers, rather than just the risk of financial loss to a financial institution; and</w:t>
      </w:r>
    </w:p>
    <w:p w:rsidR="00000000" w:rsidDel="00000000" w:rsidP="00000000" w:rsidRDefault="00000000" w:rsidRPr="00000000" w14:paraId="00000029">
      <w:pPr>
        <w:numPr>
          <w:ilvl w:val="0"/>
          <w:numId w:val="1"/>
        </w:numPr>
        <w:ind w:left="720" w:hanging="360"/>
        <w:rPr>
          <w:rFonts w:ascii="Crimson Pro" w:cs="Crimson Pro" w:eastAsia="Crimson Pro" w:hAnsi="Crimson Pro"/>
          <w:sz w:val="26"/>
          <w:szCs w:val="26"/>
          <w:u w:val="none"/>
        </w:rPr>
      </w:pPr>
      <w:r w:rsidDel="00000000" w:rsidR="00000000" w:rsidRPr="00000000">
        <w:rPr>
          <w:rFonts w:ascii="Crimson Pro" w:cs="Crimson Pro" w:eastAsia="Crimson Pro" w:hAnsi="Crimson Pro"/>
          <w:sz w:val="26"/>
          <w:szCs w:val="26"/>
          <w:rtl w:val="0"/>
        </w:rPr>
        <w:t xml:space="preserve">Establish documentation and archiving requirements sufficient to ensure that financial institutions maintain the data, code, and information necessary for agencies to review their systems.</w:t>
      </w:r>
      <w:r w:rsidDel="00000000" w:rsidR="00000000" w:rsidRPr="00000000">
        <w:rPr>
          <w:rtl w:val="0"/>
        </w:rPr>
      </w:r>
    </w:p>
    <w:p w:rsidR="00000000" w:rsidDel="00000000" w:rsidP="00000000" w:rsidRDefault="00000000" w:rsidRPr="00000000" w14:paraId="0000002A">
      <w:pPr>
        <w:rPr>
          <w:rFonts w:ascii="Crimson Pro" w:cs="Crimson Pro" w:eastAsia="Crimson Pro" w:hAnsi="Crimson Pro"/>
          <w:b w:val="1"/>
          <w:color w:val="222222"/>
          <w:sz w:val="26"/>
          <w:szCs w:val="26"/>
        </w:rPr>
      </w:pPr>
      <w:r w:rsidDel="00000000" w:rsidR="00000000" w:rsidRPr="00000000">
        <w:rPr>
          <w:rFonts w:ascii="Crimson Pro" w:cs="Crimson Pro" w:eastAsia="Crimson Pro" w:hAnsi="Crimson Pro"/>
          <w:sz w:val="26"/>
          <w:szCs w:val="26"/>
          <w:rtl w:val="0"/>
        </w:rPr>
        <w:br w:type="textWrapping"/>
      </w:r>
      <w:r w:rsidDel="00000000" w:rsidR="00000000" w:rsidRPr="00000000">
        <w:rPr>
          <w:rFonts w:ascii="Crimson Pro" w:cs="Crimson Pro" w:eastAsia="Crimson Pro" w:hAnsi="Crimson Pro"/>
          <w:sz w:val="26"/>
          <w:szCs w:val="26"/>
          <w:rtl w:val="0"/>
        </w:rPr>
        <w:t xml:space="preserve">It is critical that all credit processes undergo scrutiny that includes analysis of </w:t>
      </w:r>
      <w:r w:rsidDel="00000000" w:rsidR="00000000" w:rsidRPr="00000000">
        <w:rPr>
          <w:rFonts w:ascii="Crimson Pro" w:cs="Crimson Pro" w:eastAsia="Crimson Pro" w:hAnsi="Crimson Pro"/>
          <w:sz w:val="26"/>
          <w:szCs w:val="26"/>
          <w:rtl w:val="0"/>
        </w:rPr>
        <w:t xml:space="preserve">actual outcome</w:t>
      </w:r>
      <w:r w:rsidDel="00000000" w:rsidR="00000000" w:rsidRPr="00000000">
        <w:rPr>
          <w:rFonts w:ascii="Crimson Pro" w:cs="Crimson Pro" w:eastAsia="Crimson Pro" w:hAnsi="Crimson Pro"/>
          <w:i w:val="1"/>
          <w:sz w:val="26"/>
          <w:szCs w:val="26"/>
          <w:rtl w:val="0"/>
        </w:rPr>
        <w:t xml:space="preserve"> </w:t>
      </w:r>
      <w:r w:rsidDel="00000000" w:rsidR="00000000" w:rsidRPr="00000000">
        <w:rPr>
          <w:rFonts w:ascii="Crimson Pro" w:cs="Crimson Pro" w:eastAsia="Crimson Pro" w:hAnsi="Crimson Pro"/>
          <w:sz w:val="26"/>
          <w:szCs w:val="26"/>
          <w:rtl w:val="0"/>
        </w:rPr>
        <w:t xml:space="preserve">data</w:t>
      </w:r>
      <w:r w:rsidDel="00000000" w:rsidR="00000000" w:rsidRPr="00000000">
        <w:rPr>
          <w:rFonts w:ascii="Crimson Pro" w:cs="Crimson Pro" w:eastAsia="Crimson Pro" w:hAnsi="Crimson Pro"/>
          <w:sz w:val="26"/>
          <w:szCs w:val="26"/>
          <w:rtl w:val="0"/>
        </w:rPr>
        <w:t xml:space="preserve">, not just a model’s inputs, training, or validation data. This is particularly important as lenders turn to more complex models that exhibit “black box” qualities — </w:t>
      </w:r>
      <w:r w:rsidDel="00000000" w:rsidR="00000000" w:rsidRPr="00000000">
        <w:rPr>
          <w:rFonts w:ascii="Crimson Pro" w:cs="Crimson Pro" w:eastAsia="Crimson Pro" w:hAnsi="Crimson Pro"/>
          <w:i w:val="1"/>
          <w:sz w:val="26"/>
          <w:szCs w:val="26"/>
          <w:rtl w:val="0"/>
        </w:rPr>
        <w:t xml:space="preserve">i.e.</w:t>
      </w:r>
      <w:r w:rsidDel="00000000" w:rsidR="00000000" w:rsidRPr="00000000">
        <w:rPr>
          <w:rFonts w:ascii="Crimson Pro" w:cs="Crimson Pro" w:eastAsia="Crimson Pro" w:hAnsi="Crimson Pro"/>
          <w:sz w:val="26"/>
          <w:szCs w:val="26"/>
          <w:rtl w:val="0"/>
        </w:rPr>
        <w:t xml:space="preserve">, where the relationship between the model’s inputs and outputs are opaque or not easily understood.</w:t>
      </w:r>
      <w:r w:rsidDel="00000000" w:rsidR="00000000" w:rsidRPr="00000000">
        <w:rPr>
          <w:rFonts w:ascii="Crimson Pro" w:cs="Crimson Pro" w:eastAsia="Crimson Pro" w:hAnsi="Crimson Pro"/>
          <w:sz w:val="26"/>
          <w:szCs w:val="26"/>
          <w:vertAlign w:val="superscript"/>
        </w:rPr>
        <w:footnoteReference w:customMarkFollows="0" w:id="2"/>
      </w:r>
      <w:r w:rsidDel="00000000" w:rsidR="00000000" w:rsidRPr="00000000">
        <w:rPr>
          <w:rFonts w:ascii="Crimson Pro" w:cs="Crimson Pro" w:eastAsia="Crimson Pro" w:hAnsi="Crimson Pro"/>
          <w:sz w:val="26"/>
          <w:szCs w:val="26"/>
          <w:rtl w:val="0"/>
        </w:rPr>
        <w:t xml:space="preserve"> This requires access to demographic data about protected groups, whether inferred indirectly or collected directly by the creditor.</w:t>
      </w:r>
      <w:r w:rsidDel="00000000" w:rsidR="00000000" w:rsidRPr="00000000">
        <w:rPr>
          <w:rFonts w:ascii="Crimson Pro" w:cs="Crimson Pro" w:eastAsia="Crimson Pro" w:hAnsi="Crimson Pro"/>
          <w:sz w:val="26"/>
          <w:szCs w:val="26"/>
          <w:vertAlign w:val="superscript"/>
        </w:rPr>
        <w:footnoteReference w:customMarkFollows="0" w:id="3"/>
      </w:r>
      <w:r w:rsidDel="00000000" w:rsidR="00000000" w:rsidRPr="00000000">
        <w:rPr>
          <w:rFonts w:ascii="Crimson Pro" w:cs="Crimson Pro" w:eastAsia="Crimson Pro" w:hAnsi="Crimson Pro"/>
          <w:sz w:val="26"/>
          <w:szCs w:val="26"/>
          <w:rtl w:val="0"/>
        </w:rPr>
        <w:t xml:space="preserve"> The Bureau should consider creating new datasets or methodologies for measuring disparate impact.</w:t>
      </w:r>
      <w:r w:rsidDel="00000000" w:rsidR="00000000" w:rsidRPr="00000000">
        <w:rPr>
          <w:rFonts w:ascii="Crimson Pro" w:cs="Crimson Pro" w:eastAsia="Crimson Pro" w:hAnsi="Crimson Pro"/>
          <w:sz w:val="26"/>
          <w:szCs w:val="26"/>
          <w:vertAlign w:val="superscript"/>
        </w:rPr>
        <w:footnoteReference w:customMarkFollows="0" w:id="4"/>
      </w:r>
      <w:r w:rsidDel="00000000" w:rsidR="00000000" w:rsidRPr="00000000">
        <w:rPr>
          <w:rFonts w:ascii="Crimson Pro" w:cs="Crimson Pro" w:eastAsia="Crimson Pro" w:hAnsi="Crimson Pro"/>
          <w:sz w:val="26"/>
          <w:szCs w:val="26"/>
          <w:rtl w:val="0"/>
        </w:rPr>
        <w:t xml:space="preserve"> This might include, for example, improving on the BISG methodology.</w:t>
      </w:r>
      <w:r w:rsidDel="00000000" w:rsidR="00000000" w:rsidRPr="00000000">
        <w:rPr>
          <w:rFonts w:ascii="Crimson Pro" w:cs="Crimson Pro" w:eastAsia="Crimson Pro" w:hAnsi="Crimson Pro"/>
          <w:sz w:val="26"/>
          <w:szCs w:val="26"/>
          <w:vertAlign w:val="superscript"/>
        </w:rPr>
        <w:footnoteReference w:customMarkFollows="0" w:id="5"/>
      </w:r>
      <w:r w:rsidDel="00000000" w:rsidR="00000000" w:rsidRPr="00000000">
        <w:rPr>
          <w:rFonts w:ascii="Crimson Pro" w:cs="Crimson Pro" w:eastAsia="Crimson Pro" w:hAnsi="Crimson Pro"/>
          <w:sz w:val="26"/>
          <w:szCs w:val="26"/>
          <w:rtl w:val="0"/>
        </w:rPr>
        <w:t xml:space="preserve"> The CFPB should consider new supervisory guidance for models, revisions to exam manuals, and commentary to </w:t>
      </w:r>
      <w:r w:rsidDel="00000000" w:rsidR="00000000" w:rsidRPr="00000000">
        <w:rPr>
          <w:rFonts w:ascii="Crimson Pro" w:cs="Crimson Pro" w:eastAsia="Crimson Pro" w:hAnsi="Crimson Pro"/>
          <w:sz w:val="26"/>
          <w:szCs w:val="26"/>
          <w:rtl w:val="0"/>
        </w:rPr>
        <w:t xml:space="preserve">Regulation B</w:t>
      </w:r>
      <w:r w:rsidDel="00000000" w:rsidR="00000000" w:rsidRPr="00000000">
        <w:rPr>
          <w:rFonts w:ascii="Crimson Pro" w:cs="Crimson Pro" w:eastAsia="Crimson Pro" w:hAnsi="Crimson Pro"/>
          <w:sz w:val="26"/>
          <w:szCs w:val="26"/>
          <w:rtl w:val="0"/>
        </w:rPr>
        <w:t xml:space="preserve"> to achieve these goals.</w:t>
      </w:r>
      <w:r w:rsidDel="00000000" w:rsidR="00000000" w:rsidRPr="00000000">
        <w:rPr>
          <w:rFonts w:ascii="Crimson Pro" w:cs="Crimson Pro" w:eastAsia="Crimson Pro" w:hAnsi="Crimson Pro"/>
          <w:sz w:val="26"/>
          <w:szCs w:val="26"/>
          <w:vertAlign w:val="superscript"/>
        </w:rPr>
        <w:footnoteReference w:customMarkFollows="0" w:id="6"/>
      </w:r>
      <w:r w:rsidDel="00000000" w:rsidR="00000000" w:rsidRPr="00000000">
        <w:rPr>
          <w:rFonts w:ascii="Crimson Pro" w:cs="Crimson Pro" w:eastAsia="Crimson Pro" w:hAnsi="Crimson Pro"/>
          <w:sz w:val="26"/>
          <w:szCs w:val="26"/>
          <w:rtl w:val="0"/>
        </w:rPr>
        <w:br w:type="textWrapping"/>
        <w:br w:type="textWrapping"/>
      </w:r>
      <w:r w:rsidDel="00000000" w:rsidR="00000000" w:rsidRPr="00000000">
        <w:rPr>
          <w:rFonts w:ascii="Crimson Pro" w:cs="Crimson Pro" w:eastAsia="Crimson Pro" w:hAnsi="Crimson Pro"/>
          <w:sz w:val="26"/>
          <w:szCs w:val="26"/>
          <w:rtl w:val="0"/>
        </w:rPr>
        <w:t xml:space="preserve">Agencies should</w:t>
      </w:r>
      <w:r w:rsidDel="00000000" w:rsidR="00000000" w:rsidRPr="00000000">
        <w:rPr>
          <w:rFonts w:ascii="Crimson Pro" w:cs="Crimson Pro" w:eastAsia="Crimson Pro" w:hAnsi="Crimson Pro"/>
          <w:sz w:val="26"/>
          <w:szCs w:val="26"/>
          <w:rtl w:val="0"/>
        </w:rPr>
        <w:t xml:space="preserve"> also help develop industry practices for ident</w:t>
      </w:r>
      <w:r w:rsidDel="00000000" w:rsidR="00000000" w:rsidRPr="00000000">
        <w:rPr>
          <w:rFonts w:ascii="Crimson Pro" w:cs="Crimson Pro" w:eastAsia="Crimson Pro" w:hAnsi="Crimson Pro"/>
          <w:sz w:val="26"/>
          <w:szCs w:val="26"/>
          <w:rtl w:val="0"/>
        </w:rPr>
        <w:t xml:space="preserve">ifying and adopting underwriting processes with minimal adverse impact. This is an area of great potential, but with few established standards or practices. For example, using new modeling techniques, creditors can sometimes discover more equitable models without significant loss of overall model quality.</w:t>
      </w:r>
      <w:r w:rsidDel="00000000" w:rsidR="00000000" w:rsidRPr="00000000">
        <w:rPr>
          <w:rFonts w:ascii="Crimson Pro" w:cs="Crimson Pro" w:eastAsia="Crimson Pro" w:hAnsi="Crimson Pro"/>
          <w:sz w:val="26"/>
          <w:szCs w:val="26"/>
          <w:vertAlign w:val="superscript"/>
        </w:rPr>
        <w:footnoteReference w:customMarkFollows="0" w:id="7"/>
      </w:r>
      <w:r w:rsidDel="00000000" w:rsidR="00000000" w:rsidRPr="00000000">
        <w:rPr>
          <w:rFonts w:ascii="Crimson Pro" w:cs="Crimson Pro" w:eastAsia="Crimson Pro" w:hAnsi="Crimson Pro"/>
          <w:sz w:val="26"/>
          <w:szCs w:val="26"/>
          <w:rtl w:val="0"/>
        </w:rPr>
        <w:t xml:space="preserve"> Creditors should proactively explore these tradeoffs, and adopt alternative models to reduce adverse impact where feasible. The CFPB can lead the way on this issue by offering new guidance, leading workshops, encouraging the development of methodologies and techniques, and </w:t>
      </w:r>
      <w:r w:rsidDel="00000000" w:rsidR="00000000" w:rsidRPr="00000000">
        <w:rPr>
          <w:rFonts w:ascii="Crimson Pro" w:cs="Crimson Pro" w:eastAsia="Crimson Pro" w:hAnsi="Crimson Pro"/>
          <w:sz w:val="26"/>
          <w:szCs w:val="26"/>
          <w:rtl w:val="0"/>
        </w:rPr>
        <w:t xml:space="preserve">offering new policy guidance.</w:t>
        <w:br w:type="textWrapping"/>
      </w:r>
      <w:r w:rsidDel="00000000" w:rsidR="00000000" w:rsidRPr="00000000">
        <w:rPr>
          <w:rtl w:val="0"/>
        </w:rPr>
      </w:r>
    </w:p>
    <w:p w:rsidR="00000000" w:rsidDel="00000000" w:rsidP="00000000" w:rsidRDefault="00000000" w:rsidRPr="00000000" w14:paraId="0000002B">
      <w:pPr>
        <w:rPr>
          <w:rFonts w:ascii="Overpass" w:cs="Overpass" w:eastAsia="Overpass" w:hAnsi="Overpass"/>
          <w:b w:val="1"/>
          <w:sz w:val="28"/>
          <w:szCs w:val="28"/>
        </w:rPr>
      </w:pPr>
      <w:r w:rsidDel="00000000" w:rsidR="00000000" w:rsidRPr="00000000">
        <w:rPr>
          <w:rFonts w:ascii="Overpass" w:cs="Overpass" w:eastAsia="Overpass" w:hAnsi="Overpass"/>
          <w:b w:val="1"/>
          <w:sz w:val="28"/>
          <w:szCs w:val="28"/>
          <w:rtl w:val="0"/>
        </w:rPr>
        <w:t xml:space="preserve">2. Agencies should encourage the use of alternative data for underwriting that is voluntarily provided by consumers and has a clear relationship to their ability to repay a loan.</w:t>
      </w:r>
    </w:p>
    <w:p w:rsidR="00000000" w:rsidDel="00000000" w:rsidP="00000000" w:rsidRDefault="00000000" w:rsidRPr="00000000" w14:paraId="0000002C">
      <w:pPr>
        <w:rPr>
          <w:rFonts w:ascii="Crimson Pro ExtraLight" w:cs="Crimson Pro ExtraLight" w:eastAsia="Crimson Pro ExtraLight" w:hAnsi="Crimson Pro ExtraLight"/>
          <w:sz w:val="26"/>
          <w:szCs w:val="26"/>
        </w:rPr>
      </w:pPr>
      <w:r w:rsidDel="00000000" w:rsidR="00000000" w:rsidRPr="00000000">
        <w:rPr>
          <w:rtl w:val="0"/>
        </w:rPr>
      </w:r>
    </w:p>
    <w:p w:rsidR="00000000" w:rsidDel="00000000" w:rsidP="00000000" w:rsidRDefault="00000000" w:rsidRPr="00000000" w14:paraId="0000002D">
      <w:pPr>
        <w:rPr>
          <w:rFonts w:ascii="Crimson Pro" w:cs="Crimson Pro" w:eastAsia="Crimson Pro" w:hAnsi="Crimson Pro"/>
          <w:sz w:val="26"/>
          <w:szCs w:val="26"/>
        </w:rPr>
      </w:pPr>
      <w:r w:rsidDel="00000000" w:rsidR="00000000" w:rsidRPr="00000000">
        <w:rPr>
          <w:rFonts w:ascii="Crimson Pro" w:cs="Crimson Pro" w:eastAsia="Crimson Pro" w:hAnsi="Crimson Pro"/>
          <w:sz w:val="26"/>
          <w:szCs w:val="26"/>
          <w:rtl w:val="0"/>
        </w:rPr>
        <w:t xml:space="preserve">All agencies should encourage the use of alternative data for credit underwriting where such data are voluntarily provided by consumers and have a clear relationship with those consumers’ ability to repay. This might involve n</w:t>
      </w:r>
      <w:r w:rsidDel="00000000" w:rsidR="00000000" w:rsidRPr="00000000">
        <w:rPr>
          <w:rFonts w:ascii="Crimson Pro" w:cs="Crimson Pro" w:eastAsia="Crimson Pro" w:hAnsi="Crimson Pro"/>
          <w:sz w:val="26"/>
          <w:szCs w:val="26"/>
          <w:rtl w:val="0"/>
        </w:rPr>
        <w:t xml:space="preserve">ew researc</w:t>
      </w:r>
      <w:r w:rsidDel="00000000" w:rsidR="00000000" w:rsidRPr="00000000">
        <w:rPr>
          <w:rFonts w:ascii="Crimson Pro" w:cs="Crimson Pro" w:eastAsia="Crimson Pro" w:hAnsi="Crimson Pro"/>
          <w:sz w:val="26"/>
          <w:szCs w:val="26"/>
          <w:rtl w:val="0"/>
        </w:rPr>
        <w:t xml:space="preserve">h about the suitability of different kinds of alternative data, regulatory guidance, policy statements, or rulemakings.</w:t>
      </w:r>
    </w:p>
    <w:p w:rsidR="00000000" w:rsidDel="00000000" w:rsidP="00000000" w:rsidRDefault="00000000" w:rsidRPr="00000000" w14:paraId="0000002E">
      <w:pPr>
        <w:rPr>
          <w:rFonts w:ascii="Crimson Pro" w:cs="Crimson Pro" w:eastAsia="Crimson Pro" w:hAnsi="Crimson Pro"/>
          <w:sz w:val="26"/>
          <w:szCs w:val="26"/>
        </w:rPr>
      </w:pPr>
      <w:r w:rsidDel="00000000" w:rsidR="00000000" w:rsidRPr="00000000">
        <w:rPr>
          <w:rtl w:val="0"/>
        </w:rPr>
      </w:r>
    </w:p>
    <w:p w:rsidR="00000000" w:rsidDel="00000000" w:rsidP="00000000" w:rsidRDefault="00000000" w:rsidRPr="00000000" w14:paraId="0000002F">
      <w:pPr>
        <w:rPr>
          <w:rFonts w:ascii="Crimson Pro" w:cs="Crimson Pro" w:eastAsia="Crimson Pro" w:hAnsi="Crimson Pro"/>
          <w:sz w:val="26"/>
          <w:szCs w:val="26"/>
        </w:rPr>
      </w:pPr>
      <w:r w:rsidDel="00000000" w:rsidR="00000000" w:rsidRPr="00000000">
        <w:rPr>
          <w:rFonts w:ascii="Crimson Pro" w:cs="Crimson Pro" w:eastAsia="Crimson Pro" w:hAnsi="Crimson Pro"/>
          <w:sz w:val="26"/>
          <w:szCs w:val="26"/>
          <w:rtl w:val="0"/>
        </w:rPr>
        <w:t xml:space="preserve">Traditional credit history scores reflect immense racial disparities due to extensive historical and ongoing discrimination.</w:t>
      </w:r>
      <w:r w:rsidDel="00000000" w:rsidR="00000000" w:rsidRPr="00000000">
        <w:rPr>
          <w:rFonts w:ascii="Crimson Pro" w:cs="Crimson Pro" w:eastAsia="Crimson Pro" w:hAnsi="Crimson Pro"/>
          <w:sz w:val="26"/>
          <w:szCs w:val="26"/>
          <w:vertAlign w:val="superscript"/>
        </w:rPr>
        <w:footnoteReference w:customMarkFollows="0" w:id="8"/>
      </w:r>
      <w:r w:rsidDel="00000000" w:rsidR="00000000" w:rsidRPr="00000000">
        <w:rPr>
          <w:rFonts w:ascii="Crimson Pro" w:cs="Crimson Pro" w:eastAsia="Crimson Pro" w:hAnsi="Crimson Pro"/>
          <w:sz w:val="26"/>
          <w:szCs w:val="26"/>
          <w:rtl w:val="0"/>
        </w:rPr>
        <w:t xml:space="preserve"> Black and Latinx consumers are less likely to have credit scores in the first place, limiting their access to financial services.</w:t>
      </w:r>
      <w:r w:rsidDel="00000000" w:rsidR="00000000" w:rsidRPr="00000000">
        <w:rPr>
          <w:rFonts w:ascii="Crimson Pro" w:cs="Crimson Pro" w:eastAsia="Crimson Pro" w:hAnsi="Crimson Pro"/>
          <w:sz w:val="26"/>
          <w:szCs w:val="26"/>
          <w:vertAlign w:val="superscript"/>
        </w:rPr>
        <w:footnoteReference w:customMarkFollows="0" w:id="9"/>
      </w:r>
      <w:r w:rsidDel="00000000" w:rsidR="00000000" w:rsidRPr="00000000">
        <w:rPr>
          <w:rFonts w:ascii="Crimson Pro" w:cs="Crimson Pro" w:eastAsia="Crimson Pro" w:hAnsi="Crimson Pro"/>
          <w:sz w:val="26"/>
          <w:szCs w:val="26"/>
          <w:rtl w:val="0"/>
        </w:rPr>
        <w:t xml:space="preserve"> There is an obvious need for better, fairer, and more inclusive measures of creditworthiness.</w:t>
      </w:r>
      <w:r w:rsidDel="00000000" w:rsidR="00000000" w:rsidRPr="00000000">
        <w:rPr>
          <w:rFonts w:ascii="Crimson Pro" w:cs="Crimson Pro" w:eastAsia="Crimson Pro" w:hAnsi="Crimson Pro"/>
          <w:sz w:val="26"/>
          <w:szCs w:val="26"/>
          <w:vertAlign w:val="superscript"/>
        </w:rPr>
        <w:footnoteReference w:customMarkFollows="0" w:id="10"/>
      </w:r>
      <w:r w:rsidDel="00000000" w:rsidR="00000000" w:rsidRPr="00000000">
        <w:rPr>
          <w:rFonts w:ascii="Crimson Pro" w:cs="Crimson Pro" w:eastAsia="Crimson Pro" w:hAnsi="Crimson Pro"/>
          <w:sz w:val="26"/>
          <w:szCs w:val="26"/>
          <w:rtl w:val="0"/>
        </w:rPr>
        <w:br w:type="textWrapping"/>
        <w:br w:type="textWrapping"/>
        <w:t xml:space="preserve">New data sources can help. But caution is in order: Not all kinds of data will lead to more equitable outcomes, and some can even introduce their own new harms.</w:t>
      </w:r>
      <w:r w:rsidDel="00000000" w:rsidR="00000000" w:rsidRPr="00000000">
        <w:rPr>
          <w:rFonts w:ascii="Crimson Pro" w:cs="Crimson Pro" w:eastAsia="Crimson Pro" w:hAnsi="Crimson Pro"/>
          <w:sz w:val="26"/>
          <w:szCs w:val="26"/>
          <w:vertAlign w:val="superscript"/>
        </w:rPr>
        <w:footnoteReference w:customMarkFollows="0" w:id="11"/>
      </w:r>
      <w:r w:rsidDel="00000000" w:rsidR="00000000" w:rsidRPr="00000000">
        <w:rPr>
          <w:rFonts w:ascii="Crimson Pro" w:cs="Crimson Pro" w:eastAsia="Crimson Pro" w:hAnsi="Crimson Pro"/>
          <w:sz w:val="26"/>
          <w:szCs w:val="26"/>
          <w:rtl w:val="0"/>
        </w:rPr>
        <w:t xml:space="preserve"> Fringe alternative data such as online searches, social media history, and colleges attended can easily become proxies for protected characteristics, may be prone to inaccuracies that are difficult or impossible for impacted people to fix, and may reflect long standing inequities. On the other hand</w:t>
      </w:r>
      <w:r w:rsidDel="00000000" w:rsidR="00000000" w:rsidRPr="00000000">
        <w:rPr>
          <w:rFonts w:ascii="Crimson Pro" w:cs="Crimson Pro" w:eastAsia="Crimson Pro" w:hAnsi="Crimson Pro"/>
          <w:sz w:val="26"/>
          <w:szCs w:val="26"/>
          <w:rtl w:val="0"/>
        </w:rPr>
        <w:t xml:space="preserve">, </w:t>
      </w:r>
      <w:r w:rsidDel="00000000" w:rsidR="00000000" w:rsidRPr="00000000">
        <w:rPr>
          <w:rFonts w:ascii="Crimson Pro" w:cs="Crimson Pro" w:eastAsia="Crimson Pro" w:hAnsi="Crimson Pro"/>
          <w:sz w:val="26"/>
          <w:szCs w:val="26"/>
          <w:rtl w:val="0"/>
        </w:rPr>
        <w:t xml:space="preserve">recent research indicates that more traditional alternative data such as cash flow data holds promise for helping borrowers who might otherwise face constraints on their ability to access credit.</w:t>
      </w:r>
      <w:r w:rsidDel="00000000" w:rsidR="00000000" w:rsidRPr="00000000">
        <w:rPr>
          <w:rFonts w:ascii="Crimson Pro" w:cs="Crimson Pro" w:eastAsia="Crimson Pro" w:hAnsi="Crimson Pro"/>
          <w:sz w:val="26"/>
          <w:szCs w:val="26"/>
          <w:vertAlign w:val="superscript"/>
        </w:rPr>
        <w:footnoteReference w:customMarkFollows="0" w:id="12"/>
      </w:r>
      <w:r w:rsidDel="00000000" w:rsidR="00000000" w:rsidRPr="00000000">
        <w:rPr>
          <w:rFonts w:ascii="Crimson Pro" w:cs="Crimson Pro" w:eastAsia="Crimson Pro" w:hAnsi="Crimson Pro"/>
          <w:sz w:val="26"/>
          <w:szCs w:val="26"/>
          <w:rtl w:val="0"/>
        </w:rPr>
        <w:t xml:space="preserve"> For example, a recent Interagency Statement observed that “[c]ash flow data are specific to the borrower and generally derived from reliable sources, such as bank account records, which may help ensure the data’s accuracy. Consumers can expressly permit access to their cash flow data, which enhances transparency and consumers’ control over the data.”</w:t>
      </w:r>
      <w:r w:rsidDel="00000000" w:rsidR="00000000" w:rsidRPr="00000000">
        <w:rPr>
          <w:rFonts w:ascii="Crimson Pro" w:cs="Crimson Pro" w:eastAsia="Crimson Pro" w:hAnsi="Crimson Pro"/>
          <w:sz w:val="26"/>
          <w:szCs w:val="26"/>
          <w:vertAlign w:val="superscript"/>
        </w:rPr>
        <w:footnoteReference w:customMarkFollows="0" w:id="13"/>
      </w:r>
      <w:r w:rsidDel="00000000" w:rsidR="00000000" w:rsidRPr="00000000">
        <w:rPr>
          <w:rFonts w:ascii="Crimson Pro" w:cs="Crimson Pro" w:eastAsia="Crimson Pro" w:hAnsi="Crimson Pro"/>
          <w:sz w:val="26"/>
          <w:szCs w:val="26"/>
          <w:rtl w:val="0"/>
        </w:rPr>
        <w:br w:type="textWrapping"/>
      </w:r>
    </w:p>
    <w:p w:rsidR="00000000" w:rsidDel="00000000" w:rsidP="00000000" w:rsidRDefault="00000000" w:rsidRPr="00000000" w14:paraId="00000030">
      <w:pPr>
        <w:rPr>
          <w:rFonts w:ascii="Overpass" w:cs="Overpass" w:eastAsia="Overpass" w:hAnsi="Overpass"/>
          <w:b w:val="1"/>
          <w:sz w:val="28"/>
          <w:szCs w:val="28"/>
        </w:rPr>
      </w:pPr>
      <w:r w:rsidDel="00000000" w:rsidR="00000000" w:rsidRPr="00000000">
        <w:rPr>
          <w:rFonts w:ascii="Overpass" w:cs="Overpass" w:eastAsia="Overpass" w:hAnsi="Overpass"/>
          <w:b w:val="1"/>
          <w:sz w:val="28"/>
          <w:szCs w:val="28"/>
          <w:rtl w:val="0"/>
        </w:rPr>
        <w:t xml:space="preserve">3. Agencies should clarify standards for Special Purpose Credit programs, which could help address legacies of discrimination and encourage creation of less discriminatory credit models.</w:t>
      </w:r>
    </w:p>
    <w:p w:rsidR="00000000" w:rsidDel="00000000" w:rsidP="00000000" w:rsidRDefault="00000000" w:rsidRPr="00000000" w14:paraId="00000031">
      <w:pPr>
        <w:shd w:fill="ffffff" w:val="clear"/>
        <w:rPr>
          <w:rFonts w:ascii="Crimson Pro" w:cs="Crimson Pro" w:eastAsia="Crimson Pro" w:hAnsi="Crimson Pro"/>
          <w:color w:val="222222"/>
          <w:sz w:val="26"/>
          <w:szCs w:val="26"/>
        </w:rPr>
      </w:pPr>
      <w:r w:rsidDel="00000000" w:rsidR="00000000" w:rsidRPr="00000000">
        <w:rPr>
          <w:rtl w:val="0"/>
        </w:rPr>
      </w:r>
    </w:p>
    <w:p w:rsidR="00000000" w:rsidDel="00000000" w:rsidP="00000000" w:rsidRDefault="00000000" w:rsidRPr="00000000" w14:paraId="00000032">
      <w:pPr>
        <w:rPr>
          <w:rFonts w:ascii="Crimson Pro" w:cs="Crimson Pro" w:eastAsia="Crimson Pro" w:hAnsi="Crimson Pro"/>
          <w:sz w:val="26"/>
          <w:szCs w:val="26"/>
        </w:rPr>
      </w:pPr>
      <w:r w:rsidDel="00000000" w:rsidR="00000000" w:rsidRPr="00000000">
        <w:rPr>
          <w:rFonts w:ascii="Crimson Pro" w:cs="Crimson Pro" w:eastAsia="Crimson Pro" w:hAnsi="Crimson Pro"/>
          <w:sz w:val="26"/>
          <w:szCs w:val="26"/>
          <w:rtl w:val="0"/>
        </w:rPr>
        <w:t xml:space="preserve">Congress has provided for a range of credit programs that are “specifically designed to prefer members of economically disadvantaged classes” and “to increase access to the credit market by persons previously foreclosed from it.”</w:t>
      </w:r>
      <w:r w:rsidDel="00000000" w:rsidR="00000000" w:rsidRPr="00000000">
        <w:rPr>
          <w:rFonts w:ascii="Crimson Pro" w:cs="Crimson Pro" w:eastAsia="Crimson Pro" w:hAnsi="Crimson Pro"/>
          <w:sz w:val="26"/>
          <w:szCs w:val="26"/>
          <w:vertAlign w:val="superscript"/>
        </w:rPr>
        <w:footnoteReference w:customMarkFollows="0" w:id="14"/>
      </w:r>
      <w:r w:rsidDel="00000000" w:rsidR="00000000" w:rsidRPr="00000000">
        <w:rPr>
          <w:rFonts w:ascii="Crimson Pro" w:cs="Crimson Pro" w:eastAsia="Crimson Pro" w:hAnsi="Crimson Pro"/>
          <w:sz w:val="26"/>
          <w:szCs w:val="26"/>
          <w:rtl w:val="0"/>
        </w:rPr>
        <w:t xml:space="preserve"> These “Special Purpose Credit Programs” (SPCPs) allow the consideration of a prohibited basis such as race, national origin, or sex under particular circumstances, without violating ECOA’s general anti-discrimination mandates.</w:t>
      </w:r>
      <w:r w:rsidDel="00000000" w:rsidR="00000000" w:rsidRPr="00000000">
        <w:rPr>
          <w:rFonts w:ascii="Crimson Pro" w:cs="Crimson Pro" w:eastAsia="Crimson Pro" w:hAnsi="Crimson Pro"/>
          <w:sz w:val="26"/>
          <w:szCs w:val="26"/>
          <w:vertAlign w:val="superscript"/>
        </w:rPr>
        <w:footnoteReference w:customMarkFollows="0" w:id="15"/>
      </w:r>
      <w:r w:rsidDel="00000000" w:rsidR="00000000" w:rsidRPr="00000000">
        <w:rPr>
          <w:rFonts w:ascii="Crimson Pro" w:cs="Crimson Pro" w:eastAsia="Crimson Pro" w:hAnsi="Crimson Pro"/>
          <w:sz w:val="26"/>
          <w:szCs w:val="26"/>
          <w:rtl w:val="0"/>
        </w:rPr>
        <w:t xml:space="preserve"> SPCPs have the potential to help address legacies of discrimination, and can aid in the development of fairer financial technologies that explicitly consider protected class status.</w:t>
      </w:r>
    </w:p>
    <w:p w:rsidR="00000000" w:rsidDel="00000000" w:rsidP="00000000" w:rsidRDefault="00000000" w:rsidRPr="00000000" w14:paraId="00000033">
      <w:pPr>
        <w:rPr>
          <w:rFonts w:ascii="Crimson Pro" w:cs="Crimson Pro" w:eastAsia="Crimson Pro" w:hAnsi="Crimson Pro"/>
          <w:sz w:val="26"/>
          <w:szCs w:val="26"/>
        </w:rPr>
      </w:pPr>
      <w:r w:rsidDel="00000000" w:rsidR="00000000" w:rsidRPr="00000000">
        <w:rPr>
          <w:rtl w:val="0"/>
        </w:rPr>
      </w:r>
    </w:p>
    <w:p w:rsidR="00000000" w:rsidDel="00000000" w:rsidP="00000000" w:rsidRDefault="00000000" w:rsidRPr="00000000" w14:paraId="00000034">
      <w:pPr>
        <w:rPr>
          <w:rFonts w:ascii="Crimson Pro" w:cs="Crimson Pro" w:eastAsia="Crimson Pro" w:hAnsi="Crimson Pro"/>
          <w:sz w:val="26"/>
          <w:szCs w:val="26"/>
        </w:rPr>
      </w:pPr>
      <w:r w:rsidDel="00000000" w:rsidR="00000000" w:rsidRPr="00000000">
        <w:rPr>
          <w:rFonts w:ascii="Crimson Pro" w:cs="Crimson Pro" w:eastAsia="Crimson Pro" w:hAnsi="Crimson Pro"/>
          <w:sz w:val="26"/>
          <w:szCs w:val="26"/>
          <w:rtl w:val="0"/>
        </w:rPr>
        <w:t xml:space="preserve">We urge relevant federal agencies and departments to encourage use of SPCPs by </w:t>
      </w:r>
      <w:r w:rsidDel="00000000" w:rsidR="00000000" w:rsidRPr="00000000">
        <w:rPr>
          <w:rFonts w:ascii="Crimson Pro" w:cs="Crimson Pro" w:eastAsia="Crimson Pro" w:hAnsi="Crimson Pro"/>
          <w:sz w:val="26"/>
          <w:szCs w:val="26"/>
          <w:rtl w:val="0"/>
        </w:rPr>
        <w:t xml:space="preserve">clarifying standards and reducing</w:t>
      </w:r>
      <w:r w:rsidDel="00000000" w:rsidR="00000000" w:rsidRPr="00000000">
        <w:rPr>
          <w:rFonts w:ascii="Crimson Pro" w:cs="Crimson Pro" w:eastAsia="Crimson Pro" w:hAnsi="Crimson Pro"/>
          <w:sz w:val="26"/>
          <w:szCs w:val="26"/>
          <w:rtl w:val="0"/>
        </w:rPr>
        <w:t xml:space="preserve"> risk of liability for lenders.</w:t>
      </w:r>
      <w:r w:rsidDel="00000000" w:rsidR="00000000" w:rsidRPr="00000000">
        <w:rPr>
          <w:rFonts w:ascii="Crimson Pro" w:cs="Crimson Pro" w:eastAsia="Crimson Pro" w:hAnsi="Crimson Pro"/>
          <w:sz w:val="26"/>
          <w:szCs w:val="26"/>
          <w:vertAlign w:val="superscript"/>
        </w:rPr>
        <w:footnoteReference w:customMarkFollows="0" w:id="16"/>
      </w:r>
      <w:r w:rsidDel="00000000" w:rsidR="00000000" w:rsidRPr="00000000">
        <w:rPr>
          <w:rFonts w:ascii="Crimson Pro" w:cs="Crimson Pro" w:eastAsia="Crimson Pro" w:hAnsi="Crimson Pro"/>
          <w:sz w:val="26"/>
          <w:szCs w:val="26"/>
          <w:rtl w:val="0"/>
        </w:rPr>
        <w:t xml:space="preserve"> The CFPB should take the lead in ensuring that its SPCP guidance under ECOA is consistent with the approach that other federal regulators, the Department of Justice, and the state attorneys general are taking in enforcing other fair lending laws.</w:t>
        <w:br w:type="textWrapping"/>
      </w:r>
    </w:p>
    <w:p w:rsidR="00000000" w:rsidDel="00000000" w:rsidP="00000000" w:rsidRDefault="00000000" w:rsidRPr="00000000" w14:paraId="00000035">
      <w:pPr>
        <w:rPr>
          <w:rFonts w:ascii="Overpass" w:cs="Overpass" w:eastAsia="Overpass" w:hAnsi="Overpass"/>
          <w:b w:val="1"/>
          <w:sz w:val="28"/>
          <w:szCs w:val="28"/>
        </w:rPr>
      </w:pPr>
      <w:r w:rsidDel="00000000" w:rsidR="00000000" w:rsidRPr="00000000">
        <w:rPr>
          <w:rFonts w:ascii="Overpass" w:cs="Overpass" w:eastAsia="Overpass" w:hAnsi="Overpass"/>
          <w:b w:val="1"/>
          <w:sz w:val="28"/>
          <w:szCs w:val="28"/>
          <w:rtl w:val="0"/>
        </w:rPr>
        <w:t xml:space="preserve">4. The CFPB should issue new modernized guidance for financial services advertising.</w:t>
      </w:r>
    </w:p>
    <w:p w:rsidR="00000000" w:rsidDel="00000000" w:rsidP="00000000" w:rsidRDefault="00000000" w:rsidRPr="00000000" w14:paraId="00000036">
      <w:pPr>
        <w:rPr>
          <w:rFonts w:ascii="Crimson Pro" w:cs="Crimson Pro" w:eastAsia="Crimson Pro" w:hAnsi="Crimson Pro"/>
          <w:sz w:val="26"/>
          <w:szCs w:val="26"/>
        </w:rPr>
      </w:pPr>
      <w:r w:rsidDel="00000000" w:rsidR="00000000" w:rsidRPr="00000000">
        <w:rPr>
          <w:rtl w:val="0"/>
        </w:rPr>
      </w:r>
    </w:p>
    <w:p w:rsidR="00000000" w:rsidDel="00000000" w:rsidP="00000000" w:rsidRDefault="00000000" w:rsidRPr="00000000" w14:paraId="00000037">
      <w:pPr>
        <w:rPr>
          <w:rFonts w:ascii="Crimson Pro" w:cs="Crimson Pro" w:eastAsia="Crimson Pro" w:hAnsi="Crimson Pro"/>
          <w:sz w:val="26"/>
          <w:szCs w:val="26"/>
        </w:rPr>
      </w:pPr>
      <w:r w:rsidDel="00000000" w:rsidR="00000000" w:rsidRPr="00000000">
        <w:rPr>
          <w:rFonts w:ascii="Crimson Pro" w:cs="Crimson Pro" w:eastAsia="Crimson Pro" w:hAnsi="Crimson Pro"/>
          <w:sz w:val="26"/>
          <w:szCs w:val="26"/>
          <w:rtl w:val="0"/>
        </w:rPr>
        <w:t xml:space="preserve">For years, creditors have known that new digital advertising technologies, including a vast array of targeting techniques, might result in illegal discrimination.</w:t>
      </w:r>
      <w:r w:rsidDel="00000000" w:rsidR="00000000" w:rsidRPr="00000000">
        <w:rPr>
          <w:rFonts w:ascii="Crimson Pro" w:cs="Crimson Pro" w:eastAsia="Crimson Pro" w:hAnsi="Crimson Pro"/>
          <w:sz w:val="26"/>
          <w:szCs w:val="26"/>
          <w:vertAlign w:val="superscript"/>
        </w:rPr>
        <w:footnoteReference w:customMarkFollows="0" w:id="17"/>
      </w:r>
      <w:r w:rsidDel="00000000" w:rsidR="00000000" w:rsidRPr="00000000">
        <w:rPr>
          <w:rFonts w:ascii="Crimson Pro" w:cs="Crimson Pro" w:eastAsia="Crimson Pro" w:hAnsi="Crimson Pro"/>
          <w:sz w:val="26"/>
          <w:szCs w:val="26"/>
          <w:rtl w:val="0"/>
        </w:rPr>
        <w:t xml:space="preserve"> Moreover, recent empirical research has shown that advertising platforms themselves can introduce significant skews on the basis of race, gender, or other protected group status through the algorithms they use to determine delivery of advertisements — even when advertisers target their advertisements broadly.</w:t>
      </w:r>
      <w:r w:rsidDel="00000000" w:rsidR="00000000" w:rsidRPr="00000000">
        <w:rPr>
          <w:rFonts w:ascii="Crimson Pro" w:cs="Crimson Pro" w:eastAsia="Crimson Pro" w:hAnsi="Crimson Pro"/>
          <w:sz w:val="26"/>
          <w:szCs w:val="26"/>
          <w:vertAlign w:val="superscript"/>
        </w:rPr>
        <w:footnoteReference w:customMarkFollows="0" w:id="18"/>
      </w:r>
      <w:r w:rsidDel="00000000" w:rsidR="00000000" w:rsidRPr="00000000">
        <w:rPr>
          <w:rFonts w:ascii="Crimson Pro" w:cs="Crimson Pro" w:eastAsia="Crimson Pro" w:hAnsi="Crimson Pro"/>
          <w:sz w:val="26"/>
          <w:szCs w:val="26"/>
          <w:rtl w:val="0"/>
        </w:rPr>
        <w:t xml:space="preserve"> The Department of Housing and Urban Development has alleged such practices violate the Fair Housing Act.</w:t>
      </w:r>
      <w:r w:rsidDel="00000000" w:rsidR="00000000" w:rsidRPr="00000000">
        <w:rPr>
          <w:rFonts w:ascii="Crimson Pro" w:cs="Crimson Pro" w:eastAsia="Crimson Pro" w:hAnsi="Crimson Pro"/>
          <w:sz w:val="26"/>
          <w:szCs w:val="26"/>
          <w:vertAlign w:val="superscript"/>
        </w:rPr>
        <w:footnoteReference w:customMarkFollows="0" w:id="19"/>
      </w:r>
      <w:r w:rsidDel="00000000" w:rsidR="00000000" w:rsidRPr="00000000">
        <w:rPr>
          <w:rtl w:val="0"/>
        </w:rPr>
      </w:r>
    </w:p>
    <w:p w:rsidR="00000000" w:rsidDel="00000000" w:rsidP="00000000" w:rsidRDefault="00000000" w:rsidRPr="00000000" w14:paraId="00000038">
      <w:pPr>
        <w:rPr>
          <w:rFonts w:ascii="Crimson Pro" w:cs="Crimson Pro" w:eastAsia="Crimson Pro" w:hAnsi="Crimson Pro"/>
          <w:sz w:val="26"/>
          <w:szCs w:val="26"/>
        </w:rPr>
      </w:pPr>
      <w:r w:rsidDel="00000000" w:rsidR="00000000" w:rsidRPr="00000000">
        <w:rPr>
          <w:rtl w:val="0"/>
        </w:rPr>
      </w:r>
    </w:p>
    <w:p w:rsidR="00000000" w:rsidDel="00000000" w:rsidP="00000000" w:rsidRDefault="00000000" w:rsidRPr="00000000" w14:paraId="00000039">
      <w:pPr>
        <w:rPr>
          <w:rFonts w:ascii="Crimson Pro" w:cs="Crimson Pro" w:eastAsia="Crimson Pro" w:hAnsi="Crimson Pro"/>
          <w:sz w:val="26"/>
          <w:szCs w:val="26"/>
        </w:rPr>
      </w:pPr>
      <w:r w:rsidDel="00000000" w:rsidR="00000000" w:rsidRPr="00000000">
        <w:rPr>
          <w:rFonts w:ascii="Crimson Pro" w:cs="Crimson Pro" w:eastAsia="Crimson Pro" w:hAnsi="Crimson Pro"/>
          <w:sz w:val="26"/>
          <w:szCs w:val="26"/>
          <w:rtl w:val="0"/>
        </w:rPr>
        <w:t xml:space="preserve">The CFPB should issue new guidance on advertising and discrimination for creditors under Regulation B. Even as the Bureau clarifies what kinds of modern marketing practices might violate the ECOA, it should also expand on ways that creditors can affirmatively reach out to underserved populations.</w:t>
      </w:r>
    </w:p>
    <w:p w:rsidR="00000000" w:rsidDel="00000000" w:rsidP="00000000" w:rsidRDefault="00000000" w:rsidRPr="00000000" w14:paraId="0000003A">
      <w:pPr>
        <w:rPr>
          <w:rFonts w:ascii="Crimson Pro" w:cs="Crimson Pro" w:eastAsia="Crimson Pro" w:hAnsi="Crimson Pro"/>
          <w:sz w:val="26"/>
          <w:szCs w:val="26"/>
        </w:rPr>
      </w:pPr>
      <w:r w:rsidDel="00000000" w:rsidR="00000000" w:rsidRPr="00000000">
        <w:rPr>
          <w:rtl w:val="0"/>
        </w:rPr>
      </w:r>
    </w:p>
    <w:p w:rsidR="00000000" w:rsidDel="00000000" w:rsidP="00000000" w:rsidRDefault="00000000" w:rsidRPr="00000000" w14:paraId="0000003B">
      <w:pPr>
        <w:rPr>
          <w:rFonts w:ascii="Overpass" w:cs="Overpass" w:eastAsia="Overpass" w:hAnsi="Overpass"/>
          <w:b w:val="1"/>
          <w:sz w:val="28"/>
          <w:szCs w:val="28"/>
        </w:rPr>
      </w:pPr>
      <w:r w:rsidDel="00000000" w:rsidR="00000000" w:rsidRPr="00000000">
        <w:rPr>
          <w:rFonts w:ascii="Overpass" w:cs="Overpass" w:eastAsia="Overpass" w:hAnsi="Overpass"/>
          <w:b w:val="1"/>
          <w:sz w:val="28"/>
          <w:szCs w:val="28"/>
          <w:rtl w:val="0"/>
        </w:rPr>
        <w:t xml:space="preserve">5. The CFPB should revise and reincorporate the underwriting provisions </w:t>
      </w:r>
      <w:r w:rsidDel="00000000" w:rsidR="00000000" w:rsidRPr="00000000">
        <w:rPr>
          <w:rFonts w:ascii="Overpass" w:cs="Overpass" w:eastAsia="Overpass" w:hAnsi="Overpass"/>
          <w:b w:val="1"/>
          <w:sz w:val="28"/>
          <w:szCs w:val="28"/>
          <w:rtl w:val="0"/>
        </w:rPr>
        <w:t xml:space="preserve">of</w:t>
      </w:r>
      <w:r w:rsidDel="00000000" w:rsidR="00000000" w:rsidRPr="00000000">
        <w:rPr>
          <w:rFonts w:ascii="Overpass" w:cs="Overpass" w:eastAsia="Overpass" w:hAnsi="Overpass"/>
          <w:b w:val="1"/>
          <w:sz w:val="28"/>
          <w:szCs w:val="28"/>
          <w:rtl w:val="0"/>
        </w:rPr>
        <w:t xml:space="preserve"> its 2017 payday lending rule.</w:t>
      </w:r>
    </w:p>
    <w:p w:rsidR="00000000" w:rsidDel="00000000" w:rsidP="00000000" w:rsidRDefault="00000000" w:rsidRPr="00000000" w14:paraId="0000003C">
      <w:pPr>
        <w:rPr>
          <w:rFonts w:ascii="Crimson Pro" w:cs="Crimson Pro" w:eastAsia="Crimson Pro" w:hAnsi="Crimson Pro"/>
          <w:sz w:val="26"/>
          <w:szCs w:val="26"/>
        </w:rPr>
      </w:pPr>
      <w:r w:rsidDel="00000000" w:rsidR="00000000" w:rsidRPr="00000000">
        <w:rPr>
          <w:rtl w:val="0"/>
        </w:rPr>
      </w:r>
    </w:p>
    <w:p w:rsidR="00000000" w:rsidDel="00000000" w:rsidP="00000000" w:rsidRDefault="00000000" w:rsidRPr="00000000" w14:paraId="0000003D">
      <w:pPr>
        <w:rPr>
          <w:rFonts w:ascii="Crimson Pro" w:cs="Crimson Pro" w:eastAsia="Crimson Pro" w:hAnsi="Crimson Pro"/>
          <w:sz w:val="26"/>
          <w:szCs w:val="26"/>
        </w:rPr>
      </w:pPr>
      <w:r w:rsidDel="00000000" w:rsidR="00000000" w:rsidRPr="00000000">
        <w:rPr>
          <w:rFonts w:ascii="Crimson Pro" w:cs="Crimson Pro" w:eastAsia="Crimson Pro" w:hAnsi="Crimson Pro"/>
          <w:sz w:val="26"/>
          <w:szCs w:val="26"/>
          <w:rtl w:val="0"/>
        </w:rPr>
        <w:t xml:space="preserve">Predatory lenders thrive online, targeting poor and vulnerable consumers — and especially people of color — wherever they live.</w:t>
      </w:r>
      <w:r w:rsidDel="00000000" w:rsidR="00000000" w:rsidRPr="00000000">
        <w:rPr>
          <w:rFonts w:ascii="Crimson Pro" w:cs="Crimson Pro" w:eastAsia="Crimson Pro" w:hAnsi="Crimson Pro"/>
          <w:sz w:val="26"/>
          <w:szCs w:val="26"/>
          <w:vertAlign w:val="superscript"/>
        </w:rPr>
        <w:footnoteReference w:customMarkFollows="0" w:id="20"/>
      </w:r>
      <w:r w:rsidDel="00000000" w:rsidR="00000000" w:rsidRPr="00000000">
        <w:rPr>
          <w:rFonts w:ascii="Crimson Pro" w:cs="Crimson Pro" w:eastAsia="Crimson Pro" w:hAnsi="Crimson Pro"/>
          <w:sz w:val="26"/>
          <w:szCs w:val="26"/>
          <w:rtl w:val="0"/>
        </w:rPr>
        <w:t xml:space="preserve"> In July of 2020, the CFPB rescinded the mandatory underwriting provisions of its payday lending rule, removing critical requirements that payday lenders verify borrowers’ ability to repay. The CFPB should work quickly to reverse these misguided policy changes.</w:t>
      </w:r>
    </w:p>
    <w:p w:rsidR="00000000" w:rsidDel="00000000" w:rsidP="00000000" w:rsidRDefault="00000000" w:rsidRPr="00000000" w14:paraId="0000003E">
      <w:pPr>
        <w:rPr>
          <w:rFonts w:ascii="Crimson Pro" w:cs="Crimson Pro" w:eastAsia="Crimson Pro" w:hAnsi="Crimson Pro"/>
          <w:sz w:val="26"/>
          <w:szCs w:val="26"/>
        </w:rPr>
      </w:pPr>
      <w:r w:rsidDel="00000000" w:rsidR="00000000" w:rsidRPr="00000000">
        <w:rPr>
          <w:rtl w:val="0"/>
        </w:rPr>
      </w:r>
    </w:p>
    <w:p w:rsidR="00000000" w:rsidDel="00000000" w:rsidP="00000000" w:rsidRDefault="00000000" w:rsidRPr="00000000" w14:paraId="0000003F">
      <w:pPr>
        <w:rPr>
          <w:rFonts w:ascii="Crimson Pro" w:cs="Crimson Pro" w:eastAsia="Crimson Pro" w:hAnsi="Crimson Pro"/>
          <w:sz w:val="26"/>
          <w:szCs w:val="26"/>
        </w:rPr>
      </w:pPr>
      <w:r w:rsidDel="00000000" w:rsidR="00000000" w:rsidRPr="00000000">
        <w:rPr>
          <w:rFonts w:ascii="Crimson Pro" w:cs="Crimson Pro" w:eastAsia="Crimson Pro" w:hAnsi="Crimson Pro"/>
          <w:sz w:val="26"/>
          <w:szCs w:val="26"/>
          <w:rtl w:val="0"/>
        </w:rPr>
        <w:t xml:space="preserve">Thank you for your attention to these matters. For any questions or further discussion, please contact Aaron Rieke, Managing Director, Upturn, at 202-677-2359 or aaron@upturn.org.</w:t>
      </w: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verpas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Crimson Pro ExtraLight">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 w:name="Crimson Pro">
    <w:embedRegular w:fontKey="{00000000-0000-0000-0000-000000000000}" r:id="rId13" w:subsetted="0"/>
    <w:embedBold w:fontKey="{00000000-0000-0000-0000-000000000000}" r:id="rId14" w:subsetted="0"/>
    <w:embedItalic w:fontKey="{00000000-0000-0000-0000-000000000000}" r:id="rId15" w:subsetted="0"/>
    <w:embedBoldItalic w:fontKey="{00000000-0000-0000-0000-000000000000}" r:id="rId1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jc w:val="right"/>
      <w:rPr>
        <w:rFonts w:ascii="Crimson Pro" w:cs="Crimson Pro" w:eastAsia="Crimson Pro" w:hAnsi="Crimson Pro"/>
      </w:rPr>
    </w:pPr>
    <w:r w:rsidDel="00000000" w:rsidR="00000000" w:rsidRPr="00000000">
      <w:rPr>
        <w:rFonts w:ascii="Crimson Pro" w:cs="Crimson Pro" w:eastAsia="Crimson Pro" w:hAnsi="Crimson Pro"/>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41">
      <w:pPr>
        <w:spacing w:line="240" w:lineRule="auto"/>
        <w:rPr>
          <w:rFonts w:ascii="Crimson Pro" w:cs="Crimson Pro" w:eastAsia="Crimson Pro" w:hAnsi="Crimson Pro"/>
          <w:sz w:val="20"/>
          <w:szCs w:val="20"/>
        </w:rPr>
      </w:pPr>
      <w:r w:rsidDel="00000000" w:rsidR="00000000" w:rsidRPr="00000000">
        <w:rPr>
          <w:rStyle w:val="FootnoteReference"/>
          <w:vertAlign w:val="superscript"/>
        </w:rPr>
        <w:footnoteRef/>
      </w:r>
      <w:r w:rsidDel="00000000" w:rsidR="00000000" w:rsidRPr="00000000">
        <w:rPr>
          <w:rFonts w:ascii="Crimson Pro" w:cs="Crimson Pro" w:eastAsia="Crimson Pro" w:hAnsi="Crimson Pro"/>
          <w:sz w:val="20"/>
          <w:szCs w:val="20"/>
          <w:rtl w:val="0"/>
        </w:rPr>
        <w:t xml:space="preserve"> 12 C.F.R. pt. 1002, Supp. I, § 1002.6(a)-2.</w:t>
      </w:r>
    </w:p>
  </w:footnote>
  <w:footnote w:id="3">
    <w:p w:rsidR="00000000" w:rsidDel="00000000" w:rsidP="00000000" w:rsidRDefault="00000000" w:rsidRPr="00000000" w14:paraId="00000042">
      <w:pPr>
        <w:spacing w:line="240" w:lineRule="auto"/>
        <w:rPr>
          <w:rFonts w:ascii="Crimson Pro" w:cs="Crimson Pro" w:eastAsia="Crimson Pro" w:hAnsi="Crimson Pro"/>
          <w:sz w:val="20"/>
          <w:szCs w:val="20"/>
        </w:rPr>
      </w:pPr>
      <w:r w:rsidDel="00000000" w:rsidR="00000000" w:rsidRPr="00000000">
        <w:rPr>
          <w:rStyle w:val="FootnoteReference"/>
          <w:vertAlign w:val="superscript"/>
        </w:rPr>
        <w:footnoteRef/>
      </w:r>
      <w:r w:rsidDel="00000000" w:rsidR="00000000" w:rsidRPr="00000000">
        <w:rPr>
          <w:rFonts w:ascii="Crimson Pro" w:cs="Crimson Pro" w:eastAsia="Crimson Pro" w:hAnsi="Crimson Pro"/>
          <w:sz w:val="20"/>
          <w:szCs w:val="20"/>
          <w:rtl w:val="0"/>
        </w:rPr>
        <w:t xml:space="preserve"> </w:t>
      </w:r>
      <w:r w:rsidDel="00000000" w:rsidR="00000000" w:rsidRPr="00000000">
        <w:rPr>
          <w:rFonts w:ascii="Crimson Pro" w:cs="Crimson Pro" w:eastAsia="Crimson Pro" w:hAnsi="Crimson Pro"/>
          <w:i w:val="1"/>
          <w:sz w:val="20"/>
          <w:szCs w:val="20"/>
          <w:rtl w:val="0"/>
        </w:rPr>
        <w:t xml:space="preserve">See </w:t>
      </w:r>
      <w:r w:rsidDel="00000000" w:rsidR="00000000" w:rsidRPr="00000000">
        <w:rPr>
          <w:rFonts w:ascii="Crimson Pro" w:cs="Crimson Pro" w:eastAsia="Crimson Pro" w:hAnsi="Crimson Pro"/>
          <w:sz w:val="20"/>
          <w:szCs w:val="20"/>
          <w:rtl w:val="0"/>
        </w:rPr>
        <w:t xml:space="preserve">Miranda Bogen, Aaron Rieke, and Shazeda Ahmed, Awareness in Practice: Tensions in Access to Sensitive Attribute Data for Antidiscrimination, December 2019, https://arxiv.org/abs/1912.06171.</w:t>
      </w:r>
    </w:p>
  </w:footnote>
  <w:footnote w:id="4">
    <w:p w:rsidR="00000000" w:rsidDel="00000000" w:rsidP="00000000" w:rsidRDefault="00000000" w:rsidRPr="00000000" w14:paraId="00000043">
      <w:pPr>
        <w:spacing w:line="240" w:lineRule="auto"/>
        <w:rPr>
          <w:rFonts w:ascii="Crimson Pro" w:cs="Crimson Pro" w:eastAsia="Crimson Pro" w:hAnsi="Crimson Pro"/>
          <w:sz w:val="20"/>
          <w:szCs w:val="20"/>
        </w:rPr>
      </w:pPr>
      <w:r w:rsidDel="00000000" w:rsidR="00000000" w:rsidRPr="00000000">
        <w:rPr>
          <w:rStyle w:val="FootnoteReference"/>
          <w:vertAlign w:val="superscript"/>
        </w:rPr>
        <w:footnoteRef/>
      </w:r>
      <w:r w:rsidDel="00000000" w:rsidR="00000000" w:rsidRPr="00000000">
        <w:rPr>
          <w:rFonts w:ascii="Crimson Pro" w:cs="Crimson Pro" w:eastAsia="Crimson Pro" w:hAnsi="Crimson Pro"/>
          <w:sz w:val="20"/>
          <w:szCs w:val="20"/>
          <w:rtl w:val="0"/>
        </w:rPr>
        <w:t xml:space="preserve"> </w:t>
      </w:r>
      <w:r w:rsidDel="00000000" w:rsidR="00000000" w:rsidRPr="00000000">
        <w:rPr>
          <w:rFonts w:ascii="Crimson Pro" w:cs="Crimson Pro" w:eastAsia="Crimson Pro" w:hAnsi="Crimson Pro"/>
          <w:i w:val="1"/>
          <w:sz w:val="20"/>
          <w:szCs w:val="20"/>
          <w:rtl w:val="0"/>
        </w:rPr>
        <w:t xml:space="preserve">See, e.g.,</w:t>
      </w:r>
      <w:r w:rsidDel="00000000" w:rsidR="00000000" w:rsidRPr="00000000">
        <w:rPr>
          <w:rFonts w:ascii="Crimson Pro" w:cs="Crimson Pro" w:eastAsia="Crimson Pro" w:hAnsi="Crimson Pro"/>
          <w:sz w:val="20"/>
          <w:szCs w:val="20"/>
          <w:rtl w:val="0"/>
        </w:rPr>
        <w:t xml:space="preserve"> CFPB, Using publicly available information to proxy for unidentified race and ethnicity, 2014, https://www.consumerfinance.gov/data-research/research-reports/using-publicly-available-information-to-proxy-for-unidentified-race-and-ethnicity/.</w:t>
      </w:r>
    </w:p>
  </w:footnote>
  <w:footnote w:id="5">
    <w:p w:rsidR="00000000" w:rsidDel="00000000" w:rsidP="00000000" w:rsidRDefault="00000000" w:rsidRPr="00000000" w14:paraId="00000044">
      <w:pPr>
        <w:spacing w:line="240" w:lineRule="auto"/>
        <w:rPr>
          <w:rFonts w:ascii="Crimson Pro" w:cs="Crimson Pro" w:eastAsia="Crimson Pro" w:hAnsi="Crimson Pro"/>
          <w:sz w:val="20"/>
          <w:szCs w:val="20"/>
        </w:rPr>
      </w:pPr>
      <w:r w:rsidDel="00000000" w:rsidR="00000000" w:rsidRPr="00000000">
        <w:rPr>
          <w:rStyle w:val="FootnoteReference"/>
          <w:vertAlign w:val="superscript"/>
        </w:rPr>
        <w:footnoteRef/>
      </w:r>
      <w:r w:rsidDel="00000000" w:rsidR="00000000" w:rsidRPr="00000000">
        <w:rPr>
          <w:rFonts w:ascii="Crimson Pro" w:cs="Crimson Pro" w:eastAsia="Crimson Pro" w:hAnsi="Crimson Pro"/>
          <w:sz w:val="20"/>
          <w:szCs w:val="20"/>
          <w:rtl w:val="0"/>
        </w:rPr>
        <w:t xml:space="preserve"> </w:t>
      </w:r>
      <w:r w:rsidDel="00000000" w:rsidR="00000000" w:rsidRPr="00000000">
        <w:rPr>
          <w:rFonts w:ascii="Crimson Pro" w:cs="Crimson Pro" w:eastAsia="Crimson Pro" w:hAnsi="Crimson Pro"/>
          <w:i w:val="1"/>
          <w:sz w:val="20"/>
          <w:szCs w:val="20"/>
          <w:rtl w:val="0"/>
        </w:rPr>
        <w:t xml:space="preserve">Id.</w:t>
      </w:r>
      <w:r w:rsidDel="00000000" w:rsidR="00000000" w:rsidRPr="00000000">
        <w:rPr>
          <w:rtl w:val="0"/>
        </w:rPr>
      </w:r>
    </w:p>
  </w:footnote>
  <w:footnote w:id="7">
    <w:p w:rsidR="00000000" w:rsidDel="00000000" w:rsidP="00000000" w:rsidRDefault="00000000" w:rsidRPr="00000000" w14:paraId="00000045">
      <w:pPr>
        <w:spacing w:line="240" w:lineRule="auto"/>
        <w:rPr>
          <w:rFonts w:ascii="Crimson Pro" w:cs="Crimson Pro" w:eastAsia="Crimson Pro" w:hAnsi="Crimson Pro"/>
          <w:sz w:val="20"/>
          <w:szCs w:val="20"/>
        </w:rPr>
      </w:pPr>
      <w:r w:rsidDel="00000000" w:rsidR="00000000" w:rsidRPr="00000000">
        <w:rPr>
          <w:rStyle w:val="FootnoteReference"/>
          <w:vertAlign w:val="superscript"/>
        </w:rPr>
        <w:footnoteRef/>
      </w:r>
      <w:r w:rsidDel="00000000" w:rsidR="00000000" w:rsidRPr="00000000">
        <w:rPr>
          <w:rFonts w:ascii="Crimson Pro" w:cs="Crimson Pro" w:eastAsia="Crimson Pro" w:hAnsi="Crimson Pro"/>
          <w:sz w:val="20"/>
          <w:szCs w:val="20"/>
          <w:rtl w:val="0"/>
        </w:rPr>
        <w:t xml:space="preserve"> </w:t>
      </w:r>
      <w:r w:rsidDel="00000000" w:rsidR="00000000" w:rsidRPr="00000000">
        <w:rPr>
          <w:rFonts w:ascii="Crimson Pro" w:cs="Crimson Pro" w:eastAsia="Crimson Pro" w:hAnsi="Crimson Pro"/>
          <w:i w:val="1"/>
          <w:sz w:val="20"/>
          <w:szCs w:val="20"/>
          <w:rtl w:val="0"/>
        </w:rPr>
        <w:t xml:space="preserve">See, e.g.</w:t>
      </w:r>
      <w:r w:rsidDel="00000000" w:rsidR="00000000" w:rsidRPr="00000000">
        <w:rPr>
          <w:rFonts w:ascii="Crimson Pro" w:cs="Crimson Pro" w:eastAsia="Crimson Pro" w:hAnsi="Crimson Pro"/>
          <w:sz w:val="20"/>
          <w:szCs w:val="20"/>
          <w:rtl w:val="0"/>
        </w:rPr>
        <w:t xml:space="preserve">, National Community Reinvestment Coalition, Response to Request for Information on the Equal Credit Opportunity Act; Docket No. CFPB-2020-0026, December 2020, </w:t>
      </w:r>
      <w:r w:rsidDel="00000000" w:rsidR="00000000" w:rsidRPr="00000000">
        <w:rPr>
          <w:rFonts w:ascii="Crimson Pro" w:cs="Crimson Pro" w:eastAsia="Crimson Pro" w:hAnsi="Crimson Pro"/>
          <w:i w:val="1"/>
          <w:sz w:val="20"/>
          <w:szCs w:val="20"/>
          <w:rtl w:val="0"/>
        </w:rPr>
        <w:t xml:space="preserve">available at </w:t>
      </w:r>
      <w:r w:rsidDel="00000000" w:rsidR="00000000" w:rsidRPr="00000000">
        <w:rPr>
          <w:rFonts w:ascii="Crimson Pro" w:cs="Crimson Pro" w:eastAsia="Crimson Pro" w:hAnsi="Crimson Pro"/>
          <w:sz w:val="20"/>
          <w:szCs w:val="20"/>
          <w:rtl w:val="0"/>
        </w:rPr>
        <w:t xml:space="preserve">https://ncrc.org/download/85646/.</w:t>
      </w:r>
    </w:p>
  </w:footnote>
  <w:footnote w:id="8">
    <w:p w:rsidR="00000000" w:rsidDel="00000000" w:rsidP="00000000" w:rsidRDefault="00000000" w:rsidRPr="00000000" w14:paraId="00000046">
      <w:pPr>
        <w:spacing w:line="240" w:lineRule="auto"/>
        <w:rPr>
          <w:rFonts w:ascii="Crimson Pro" w:cs="Crimson Pro" w:eastAsia="Crimson Pro" w:hAnsi="Crimson Pro"/>
          <w:sz w:val="20"/>
          <w:szCs w:val="20"/>
        </w:rPr>
      </w:pPr>
      <w:r w:rsidDel="00000000" w:rsidR="00000000" w:rsidRPr="00000000">
        <w:rPr>
          <w:rStyle w:val="FootnoteReference"/>
          <w:vertAlign w:val="superscript"/>
        </w:rPr>
        <w:footnoteRef/>
      </w:r>
      <w:r w:rsidDel="00000000" w:rsidR="00000000" w:rsidRPr="00000000">
        <w:rPr>
          <w:rFonts w:ascii="Crimson Pro" w:cs="Crimson Pro" w:eastAsia="Crimson Pro" w:hAnsi="Crimson Pro"/>
          <w:sz w:val="20"/>
          <w:szCs w:val="20"/>
          <w:rtl w:val="0"/>
        </w:rPr>
        <w:t xml:space="preserve"> </w:t>
      </w:r>
      <w:r w:rsidDel="00000000" w:rsidR="00000000" w:rsidRPr="00000000">
        <w:rPr>
          <w:rFonts w:ascii="Crimson Pro" w:cs="Crimson Pro" w:eastAsia="Crimson Pro" w:hAnsi="Crimson Pro"/>
          <w:i w:val="1"/>
          <w:sz w:val="20"/>
          <w:szCs w:val="20"/>
          <w:rtl w:val="0"/>
        </w:rPr>
        <w:t xml:space="preserve">See, e.g.</w:t>
      </w:r>
      <w:r w:rsidDel="00000000" w:rsidR="00000000" w:rsidRPr="00000000">
        <w:rPr>
          <w:rFonts w:ascii="Crimson Pro" w:cs="Crimson Pro" w:eastAsia="Crimson Pro" w:hAnsi="Crimson Pro"/>
          <w:sz w:val="20"/>
          <w:szCs w:val="20"/>
          <w:rtl w:val="0"/>
        </w:rPr>
        <w:t xml:space="preserve">, National Consumer Law Center, Past Imperfect: How Credit Scores and Other Analytics “Bake In” and Perpetuate Past Discrimination, May 2016, https://www.nclc.org/images/pdf/credit_discrimination/Past_Imperfect050616.pdf.</w:t>
      </w:r>
    </w:p>
  </w:footnote>
  <w:footnote w:id="9">
    <w:p w:rsidR="00000000" w:rsidDel="00000000" w:rsidP="00000000" w:rsidRDefault="00000000" w:rsidRPr="00000000" w14:paraId="00000047">
      <w:pPr>
        <w:spacing w:line="240" w:lineRule="auto"/>
        <w:rPr>
          <w:rFonts w:ascii="Crimson Pro" w:cs="Crimson Pro" w:eastAsia="Crimson Pro" w:hAnsi="Crimson Pro"/>
          <w:sz w:val="20"/>
          <w:szCs w:val="20"/>
        </w:rPr>
      </w:pPr>
      <w:r w:rsidDel="00000000" w:rsidR="00000000" w:rsidRPr="00000000">
        <w:rPr>
          <w:rStyle w:val="FootnoteReference"/>
          <w:vertAlign w:val="superscript"/>
        </w:rPr>
        <w:footnoteRef/>
      </w:r>
      <w:r w:rsidDel="00000000" w:rsidR="00000000" w:rsidRPr="00000000">
        <w:rPr>
          <w:rFonts w:ascii="Crimson Pro" w:cs="Crimson Pro" w:eastAsia="Crimson Pro" w:hAnsi="Crimson Pro"/>
          <w:sz w:val="20"/>
          <w:szCs w:val="20"/>
          <w:rtl w:val="0"/>
        </w:rPr>
        <w:t xml:space="preserve"> CFPB Office or Research, Data Point: Credit Invisibles, May 2015, https://files.consumerfinance.gov/f/201505_cfpb_data-point-credit-invisibles.pdf.</w:t>
      </w:r>
    </w:p>
  </w:footnote>
  <w:footnote w:id="10">
    <w:p w:rsidR="00000000" w:rsidDel="00000000" w:rsidP="00000000" w:rsidRDefault="00000000" w:rsidRPr="00000000" w14:paraId="00000048">
      <w:pPr>
        <w:spacing w:line="240" w:lineRule="auto"/>
        <w:rPr>
          <w:rFonts w:ascii="Crimson Pro" w:cs="Crimson Pro" w:eastAsia="Crimson Pro" w:hAnsi="Crimson Pro"/>
          <w:sz w:val="20"/>
          <w:szCs w:val="20"/>
        </w:rPr>
      </w:pPr>
      <w:r w:rsidDel="00000000" w:rsidR="00000000" w:rsidRPr="00000000">
        <w:rPr>
          <w:rStyle w:val="FootnoteReference"/>
          <w:vertAlign w:val="superscript"/>
        </w:rPr>
        <w:footnoteRef/>
      </w:r>
      <w:r w:rsidDel="00000000" w:rsidR="00000000" w:rsidRPr="00000000">
        <w:rPr>
          <w:rFonts w:ascii="Crimson Pro" w:cs="Crimson Pro" w:eastAsia="Crimson Pro" w:hAnsi="Crimson Pro"/>
          <w:sz w:val="20"/>
          <w:szCs w:val="20"/>
          <w:rtl w:val="0"/>
        </w:rPr>
        <w:t xml:space="preserve"> Chi Chi Wu, Reparations, Race, and Reputation in Credit: Rethinking the Relationship Between Credit Scores and Reports with Black Communities, August 7, 2020, https://medium.com/@cwu_84767/reparations-race-and-reputation-in-credit-rethinking-the-relationship-between-credit-scores-and-852f70149877.</w:t>
      </w:r>
    </w:p>
  </w:footnote>
  <w:footnote w:id="11">
    <w:p w:rsidR="00000000" w:rsidDel="00000000" w:rsidP="00000000" w:rsidRDefault="00000000" w:rsidRPr="00000000" w14:paraId="00000049">
      <w:pPr>
        <w:spacing w:line="240" w:lineRule="auto"/>
        <w:rPr>
          <w:rFonts w:ascii="Crimson Pro" w:cs="Crimson Pro" w:eastAsia="Crimson Pro" w:hAnsi="Crimson Pro"/>
          <w:sz w:val="20"/>
          <w:szCs w:val="20"/>
        </w:rPr>
      </w:pPr>
      <w:r w:rsidDel="00000000" w:rsidR="00000000" w:rsidRPr="00000000">
        <w:rPr>
          <w:rStyle w:val="FootnoteReference"/>
          <w:vertAlign w:val="superscript"/>
        </w:rPr>
        <w:footnoteRef/>
      </w:r>
      <w:r w:rsidDel="00000000" w:rsidR="00000000" w:rsidRPr="00000000">
        <w:rPr>
          <w:rFonts w:ascii="Crimson Pro" w:cs="Crimson Pro" w:eastAsia="Crimson Pro" w:hAnsi="Crimson Pro"/>
          <w:sz w:val="20"/>
          <w:szCs w:val="20"/>
          <w:rtl w:val="0"/>
        </w:rPr>
        <w:t xml:space="preserve"> </w:t>
      </w:r>
      <w:r w:rsidDel="00000000" w:rsidR="00000000" w:rsidRPr="00000000">
        <w:rPr>
          <w:rFonts w:ascii="Crimson Pro" w:cs="Crimson Pro" w:eastAsia="Crimson Pro" w:hAnsi="Crimson Pro"/>
          <w:i w:val="1"/>
          <w:sz w:val="20"/>
          <w:szCs w:val="20"/>
          <w:rtl w:val="0"/>
        </w:rPr>
        <w:t xml:space="preserve">See </w:t>
      </w:r>
      <w:r w:rsidDel="00000000" w:rsidR="00000000" w:rsidRPr="00000000">
        <w:rPr>
          <w:rFonts w:ascii="Crimson Pro" w:cs="Crimson Pro" w:eastAsia="Crimson Pro" w:hAnsi="Crimson Pro"/>
          <w:sz w:val="20"/>
          <w:szCs w:val="20"/>
          <w:rtl w:val="0"/>
        </w:rPr>
        <w:t xml:space="preserve">Testimony of Aaron Rieke Before the Task Force on Financial Technology United States House Committee on Financial Services, July 25, 2019, </w:t>
      </w:r>
      <w:r w:rsidDel="00000000" w:rsidR="00000000" w:rsidRPr="00000000">
        <w:rPr>
          <w:rFonts w:ascii="Crimson Pro" w:cs="Crimson Pro" w:eastAsia="Crimson Pro" w:hAnsi="Crimson Pro"/>
          <w:i w:val="1"/>
          <w:sz w:val="20"/>
          <w:szCs w:val="20"/>
          <w:rtl w:val="0"/>
        </w:rPr>
        <w:t xml:space="preserve">available at</w:t>
      </w:r>
      <w:r w:rsidDel="00000000" w:rsidR="00000000" w:rsidRPr="00000000">
        <w:rPr>
          <w:rFonts w:ascii="Crimson Pro" w:cs="Crimson Pro" w:eastAsia="Crimson Pro" w:hAnsi="Crimson Pro"/>
          <w:sz w:val="20"/>
          <w:szCs w:val="20"/>
          <w:rtl w:val="0"/>
        </w:rPr>
        <w:t xml:space="preserve"> https://www.congress.gov/116/meeting/house/109867/witnesses/HHRG-116-BA00-Wstate-RiekeA-20190725.pdf.</w:t>
      </w:r>
    </w:p>
  </w:footnote>
  <w:footnote w:id="12">
    <w:p w:rsidR="00000000" w:rsidDel="00000000" w:rsidP="00000000" w:rsidRDefault="00000000" w:rsidRPr="00000000" w14:paraId="0000004A">
      <w:pPr>
        <w:spacing w:line="240" w:lineRule="auto"/>
        <w:rPr>
          <w:rFonts w:ascii="Crimson Pro" w:cs="Crimson Pro" w:eastAsia="Crimson Pro" w:hAnsi="Crimson Pro"/>
          <w:sz w:val="20"/>
          <w:szCs w:val="20"/>
        </w:rPr>
      </w:pPr>
      <w:r w:rsidDel="00000000" w:rsidR="00000000" w:rsidRPr="00000000">
        <w:rPr>
          <w:rStyle w:val="FootnoteReference"/>
          <w:vertAlign w:val="superscript"/>
        </w:rPr>
        <w:footnoteRef/>
      </w:r>
      <w:r w:rsidDel="00000000" w:rsidR="00000000" w:rsidRPr="00000000">
        <w:rPr>
          <w:rFonts w:ascii="Crimson Pro" w:cs="Crimson Pro" w:eastAsia="Crimson Pro" w:hAnsi="Crimson Pro"/>
          <w:sz w:val="20"/>
          <w:szCs w:val="20"/>
          <w:rtl w:val="0"/>
        </w:rPr>
        <w:t xml:space="preserve"> </w:t>
      </w:r>
      <w:r w:rsidDel="00000000" w:rsidR="00000000" w:rsidRPr="00000000">
        <w:rPr>
          <w:rFonts w:ascii="Crimson Pro" w:cs="Crimson Pro" w:eastAsia="Crimson Pro" w:hAnsi="Crimson Pro"/>
          <w:i w:val="1"/>
          <w:sz w:val="20"/>
          <w:szCs w:val="20"/>
          <w:rtl w:val="0"/>
        </w:rPr>
        <w:t xml:space="preserve">See, e.g.,</w:t>
      </w:r>
      <w:r w:rsidDel="00000000" w:rsidR="00000000" w:rsidRPr="00000000">
        <w:rPr>
          <w:rFonts w:ascii="Crimson Pro" w:cs="Crimson Pro" w:eastAsia="Crimson Pro" w:hAnsi="Crimson Pro"/>
          <w:sz w:val="20"/>
          <w:szCs w:val="20"/>
          <w:rtl w:val="0"/>
        </w:rPr>
        <w:t xml:space="preserve"> FinRegLab, The Use of Cash-Flow Data in Underwriting Credit: Empirical Research Findings, July 2019, https://finreglab.org/cash-flow-data-in-underwriting-credit-empirical-research-findings.</w:t>
      </w:r>
    </w:p>
  </w:footnote>
  <w:footnote w:id="13">
    <w:p w:rsidR="00000000" w:rsidDel="00000000" w:rsidP="00000000" w:rsidRDefault="00000000" w:rsidRPr="00000000" w14:paraId="0000004B">
      <w:pPr>
        <w:spacing w:line="240" w:lineRule="auto"/>
        <w:rPr>
          <w:rFonts w:ascii="Crimson Pro" w:cs="Crimson Pro" w:eastAsia="Crimson Pro" w:hAnsi="Crimson Pro"/>
          <w:sz w:val="20"/>
          <w:szCs w:val="20"/>
        </w:rPr>
      </w:pPr>
      <w:r w:rsidDel="00000000" w:rsidR="00000000" w:rsidRPr="00000000">
        <w:rPr>
          <w:rStyle w:val="FootnoteReference"/>
          <w:vertAlign w:val="superscript"/>
        </w:rPr>
        <w:footnoteRef/>
      </w:r>
      <w:r w:rsidDel="00000000" w:rsidR="00000000" w:rsidRPr="00000000">
        <w:rPr>
          <w:rFonts w:ascii="Crimson Pro" w:cs="Crimson Pro" w:eastAsia="Crimson Pro" w:hAnsi="Crimson Pro"/>
          <w:sz w:val="20"/>
          <w:szCs w:val="20"/>
          <w:rtl w:val="0"/>
        </w:rPr>
        <w:t xml:space="preserve"> Interagency Statement on the Use of Alternative Data in Credit Underwriting, https://files.consumerfinance.gov/f/documents/cfpb_interagency-statement_alternative-data.pdf.</w:t>
      </w:r>
    </w:p>
  </w:footnote>
  <w:footnote w:id="14">
    <w:p w:rsidR="00000000" w:rsidDel="00000000" w:rsidP="00000000" w:rsidRDefault="00000000" w:rsidRPr="00000000" w14:paraId="0000004C">
      <w:pPr>
        <w:spacing w:line="240" w:lineRule="auto"/>
        <w:rPr>
          <w:rFonts w:ascii="Crimson Pro" w:cs="Crimson Pro" w:eastAsia="Crimson Pro" w:hAnsi="Crimson Pro"/>
          <w:sz w:val="20"/>
          <w:szCs w:val="20"/>
        </w:rPr>
      </w:pPr>
      <w:r w:rsidDel="00000000" w:rsidR="00000000" w:rsidRPr="00000000">
        <w:rPr>
          <w:rStyle w:val="FootnoteReference"/>
          <w:vertAlign w:val="superscript"/>
        </w:rPr>
        <w:footnoteRef/>
      </w:r>
      <w:r w:rsidDel="00000000" w:rsidR="00000000" w:rsidRPr="00000000">
        <w:rPr>
          <w:rFonts w:ascii="Crimson Pro" w:cs="Crimson Pro" w:eastAsia="Crimson Pro" w:hAnsi="Crimson Pro"/>
          <w:sz w:val="20"/>
          <w:szCs w:val="20"/>
          <w:rtl w:val="0"/>
        </w:rPr>
        <w:t xml:space="preserve"> S. Rept. 94-589, 94th Cong., 2nd Sess., at 7, reprinted in 1976 U.S.C.C.A.N. 403, 409. </w:t>
      </w:r>
    </w:p>
  </w:footnote>
  <w:footnote w:id="15">
    <w:p w:rsidR="00000000" w:rsidDel="00000000" w:rsidP="00000000" w:rsidRDefault="00000000" w:rsidRPr="00000000" w14:paraId="0000004D">
      <w:pPr>
        <w:spacing w:line="240" w:lineRule="auto"/>
        <w:rPr>
          <w:rFonts w:ascii="Crimson Pro" w:cs="Crimson Pro" w:eastAsia="Crimson Pro" w:hAnsi="Crimson Pro"/>
          <w:sz w:val="20"/>
          <w:szCs w:val="20"/>
        </w:rPr>
      </w:pPr>
      <w:r w:rsidDel="00000000" w:rsidR="00000000" w:rsidRPr="00000000">
        <w:rPr>
          <w:rStyle w:val="FootnoteReference"/>
          <w:vertAlign w:val="superscript"/>
        </w:rPr>
        <w:footnoteRef/>
      </w:r>
      <w:r w:rsidDel="00000000" w:rsidR="00000000" w:rsidRPr="00000000">
        <w:rPr>
          <w:rFonts w:ascii="Crimson Pro" w:cs="Crimson Pro" w:eastAsia="Crimson Pro" w:hAnsi="Crimson Pro"/>
          <w:sz w:val="20"/>
          <w:szCs w:val="20"/>
          <w:rtl w:val="0"/>
        </w:rPr>
        <w:t xml:space="preserve"> CFPB, Advisory Opinion on Special Purpose Credit Programs, December 12, 2020, https://www.consumerfinance.gov/rules-policy/final-rules/advisory-opinion-on-special-purpose-credit-programs/.</w:t>
      </w:r>
    </w:p>
  </w:footnote>
  <w:footnote w:id="17">
    <w:p w:rsidR="00000000" w:rsidDel="00000000" w:rsidP="00000000" w:rsidRDefault="00000000" w:rsidRPr="00000000" w14:paraId="0000004E">
      <w:pPr>
        <w:spacing w:line="240" w:lineRule="auto"/>
        <w:rPr>
          <w:rFonts w:ascii="Crimson Pro" w:cs="Crimson Pro" w:eastAsia="Crimson Pro" w:hAnsi="Crimson Pro"/>
          <w:sz w:val="20"/>
          <w:szCs w:val="20"/>
        </w:rPr>
      </w:pPr>
      <w:r w:rsidDel="00000000" w:rsidR="00000000" w:rsidRPr="00000000">
        <w:rPr>
          <w:rStyle w:val="FootnoteReference"/>
          <w:vertAlign w:val="superscript"/>
        </w:rPr>
        <w:footnoteRef/>
      </w:r>
      <w:r w:rsidDel="00000000" w:rsidR="00000000" w:rsidRPr="00000000">
        <w:rPr>
          <w:rFonts w:ascii="Crimson Pro" w:cs="Crimson Pro" w:eastAsia="Crimson Pro" w:hAnsi="Crimson Pro"/>
          <w:sz w:val="20"/>
          <w:szCs w:val="20"/>
          <w:rtl w:val="0"/>
        </w:rPr>
        <w:t xml:space="preserve"> </w:t>
      </w:r>
      <w:r w:rsidDel="00000000" w:rsidR="00000000" w:rsidRPr="00000000">
        <w:rPr>
          <w:rFonts w:ascii="Crimson Pro" w:cs="Crimson Pro" w:eastAsia="Crimson Pro" w:hAnsi="Crimson Pro"/>
          <w:i w:val="1"/>
          <w:sz w:val="20"/>
          <w:szCs w:val="20"/>
          <w:rtl w:val="0"/>
        </w:rPr>
        <w:t xml:space="preserve">See, e.g.,</w:t>
      </w:r>
      <w:r w:rsidDel="00000000" w:rsidR="00000000" w:rsidRPr="00000000">
        <w:rPr>
          <w:rFonts w:ascii="Crimson Pro" w:cs="Crimson Pro" w:eastAsia="Crimson Pro" w:hAnsi="Crimson Pro"/>
          <w:sz w:val="20"/>
          <w:szCs w:val="20"/>
          <w:rtl w:val="0"/>
        </w:rPr>
        <w:t xml:space="preserve"> Penny Crosman, ‘Black box’ problem hampers banks’ online marketing, American Banker, January 21, 2018, https://www.americanbanker.com/payments/payments/news/the-black-box-problem-should-financial-institutions-steer-clear-of-tools-like-facebooks-lookalike-audiences.</w:t>
      </w:r>
    </w:p>
  </w:footnote>
  <w:footnote w:id="18">
    <w:p w:rsidR="00000000" w:rsidDel="00000000" w:rsidP="00000000" w:rsidRDefault="00000000" w:rsidRPr="00000000" w14:paraId="0000004F">
      <w:pPr>
        <w:spacing w:line="240" w:lineRule="auto"/>
        <w:rPr>
          <w:rFonts w:ascii="Crimson Pro" w:cs="Crimson Pro" w:eastAsia="Crimson Pro" w:hAnsi="Crimson Pro"/>
          <w:i w:val="1"/>
          <w:sz w:val="20"/>
          <w:szCs w:val="20"/>
        </w:rPr>
      </w:pPr>
      <w:r w:rsidDel="00000000" w:rsidR="00000000" w:rsidRPr="00000000">
        <w:rPr>
          <w:rStyle w:val="FootnoteReference"/>
          <w:vertAlign w:val="superscript"/>
        </w:rPr>
        <w:footnoteRef/>
      </w:r>
      <w:r w:rsidDel="00000000" w:rsidR="00000000" w:rsidRPr="00000000">
        <w:rPr>
          <w:rFonts w:ascii="Crimson Pro" w:cs="Crimson Pro" w:eastAsia="Crimson Pro" w:hAnsi="Crimson Pro"/>
          <w:i w:val="1"/>
          <w:sz w:val="20"/>
          <w:szCs w:val="20"/>
          <w:rtl w:val="0"/>
        </w:rPr>
        <w:t xml:space="preserve"> See Id.; </w:t>
      </w:r>
      <w:r w:rsidDel="00000000" w:rsidR="00000000" w:rsidRPr="00000000">
        <w:rPr>
          <w:rFonts w:ascii="Crimson Pro" w:cs="Crimson Pro" w:eastAsia="Crimson Pro" w:hAnsi="Crimson Pro"/>
          <w:sz w:val="20"/>
          <w:szCs w:val="20"/>
          <w:rtl w:val="0"/>
        </w:rPr>
        <w:t xml:space="preserve">Ali et. al., Discrimination through Optimization: How Facebook’s Ad Delivery Can Lead to Biased Outcomes, November 2019, https://dl.acm.org/doi/10.1145/3359301.</w:t>
      </w:r>
      <w:r w:rsidDel="00000000" w:rsidR="00000000" w:rsidRPr="00000000">
        <w:rPr>
          <w:rtl w:val="0"/>
        </w:rPr>
      </w:r>
    </w:p>
  </w:footnote>
  <w:footnote w:id="19">
    <w:p w:rsidR="00000000" w:rsidDel="00000000" w:rsidP="00000000" w:rsidRDefault="00000000" w:rsidRPr="00000000" w14:paraId="00000050">
      <w:pPr>
        <w:spacing w:line="240" w:lineRule="auto"/>
        <w:rPr>
          <w:rFonts w:ascii="Crimson Pro" w:cs="Crimson Pro" w:eastAsia="Crimson Pro" w:hAnsi="Crimson Pro"/>
          <w:sz w:val="20"/>
          <w:szCs w:val="20"/>
        </w:rPr>
      </w:pPr>
      <w:r w:rsidDel="00000000" w:rsidR="00000000" w:rsidRPr="00000000">
        <w:rPr>
          <w:rStyle w:val="FootnoteReference"/>
          <w:vertAlign w:val="superscript"/>
        </w:rPr>
        <w:footnoteRef/>
      </w:r>
      <w:r w:rsidDel="00000000" w:rsidR="00000000" w:rsidRPr="00000000">
        <w:rPr>
          <w:rFonts w:ascii="Crimson Pro" w:cs="Crimson Pro" w:eastAsia="Crimson Pro" w:hAnsi="Crimson Pro"/>
          <w:sz w:val="20"/>
          <w:szCs w:val="20"/>
          <w:rtl w:val="0"/>
        </w:rPr>
        <w:t xml:space="preserve"> Department of Housing and Urban Development, Charge of Discrimination, March 2019, https://www.hud.gov/sites/dfiles/Main/documents/HUD_v_Facebook.pdf.</w:t>
      </w:r>
    </w:p>
  </w:footnote>
  <w:footnote w:id="16">
    <w:p w:rsidR="00000000" w:rsidDel="00000000" w:rsidP="00000000" w:rsidRDefault="00000000" w:rsidRPr="00000000" w14:paraId="00000052">
      <w:pPr>
        <w:spacing w:line="240" w:lineRule="auto"/>
        <w:rPr>
          <w:rFonts w:ascii="Crimson Pro" w:cs="Crimson Pro" w:eastAsia="Crimson Pro" w:hAnsi="Crimson Pro"/>
          <w:sz w:val="20"/>
          <w:szCs w:val="20"/>
        </w:rPr>
      </w:pPr>
      <w:r w:rsidDel="00000000" w:rsidR="00000000" w:rsidRPr="00000000">
        <w:rPr>
          <w:rStyle w:val="FootnoteReference"/>
          <w:vertAlign w:val="superscript"/>
        </w:rPr>
        <w:footnoteRef/>
      </w:r>
      <w:r w:rsidDel="00000000" w:rsidR="00000000" w:rsidRPr="00000000">
        <w:rPr>
          <w:rFonts w:ascii="Crimson Pro" w:cs="Crimson Pro" w:eastAsia="Crimson Pro" w:hAnsi="Crimson Pro"/>
          <w:sz w:val="20"/>
          <w:szCs w:val="20"/>
          <w:rtl w:val="0"/>
        </w:rPr>
        <w:t xml:space="preserve"> </w:t>
      </w:r>
      <w:r w:rsidDel="00000000" w:rsidR="00000000" w:rsidRPr="00000000">
        <w:rPr>
          <w:rFonts w:ascii="Crimson Pro" w:cs="Crimson Pro" w:eastAsia="Crimson Pro" w:hAnsi="Crimson Pro"/>
          <w:i w:val="1"/>
          <w:sz w:val="20"/>
          <w:szCs w:val="20"/>
          <w:rtl w:val="0"/>
        </w:rPr>
        <w:t xml:space="preserve">See </w:t>
      </w:r>
      <w:r w:rsidDel="00000000" w:rsidR="00000000" w:rsidRPr="00000000">
        <w:rPr>
          <w:rFonts w:ascii="Crimson Pro" w:cs="Crimson Pro" w:eastAsia="Crimson Pro" w:hAnsi="Crimson Pro"/>
          <w:sz w:val="20"/>
          <w:szCs w:val="20"/>
          <w:rtl w:val="0"/>
        </w:rPr>
        <w:t xml:space="preserve">NCLC, Doing Special Purpose Credit Programs Right: Why Programs to Assist Black Communities Should Avoid Conventional Use of Traditional Credit Scores, February 2021, https://www.nclc.org/images/pdf/credit_reports/IB_SPCP_Credit_Scores.pdf; Stephen Hayes, Special Purpose Credit Programs, February 2021, https://papers.ssrn.com/sol3/papers.cfm?abstract_id=3749610. </w:t>
      </w:r>
    </w:p>
  </w:footnote>
  <w:footnote w:id="6">
    <w:p w:rsidR="00000000" w:rsidDel="00000000" w:rsidP="00000000" w:rsidRDefault="00000000" w:rsidRPr="00000000" w14:paraId="00000053">
      <w:pPr>
        <w:spacing w:line="240" w:lineRule="auto"/>
        <w:rPr>
          <w:rFonts w:ascii="Crimson Pro" w:cs="Crimson Pro" w:eastAsia="Crimson Pro" w:hAnsi="Crimson Pro"/>
          <w:sz w:val="20"/>
          <w:szCs w:val="20"/>
        </w:rPr>
      </w:pPr>
      <w:r w:rsidDel="00000000" w:rsidR="00000000" w:rsidRPr="00000000">
        <w:rPr>
          <w:rStyle w:val="FootnoteReference"/>
          <w:vertAlign w:val="superscript"/>
        </w:rPr>
        <w:footnoteRef/>
      </w:r>
      <w:r w:rsidDel="00000000" w:rsidR="00000000" w:rsidRPr="00000000">
        <w:rPr>
          <w:rFonts w:ascii="Crimson Pro" w:cs="Crimson Pro" w:eastAsia="Crimson Pro" w:hAnsi="Crimson Pro"/>
          <w:sz w:val="20"/>
          <w:szCs w:val="20"/>
          <w:rtl w:val="0"/>
        </w:rPr>
        <w:t xml:space="preserve"> 12 CFR Part 1002.</w:t>
      </w:r>
    </w:p>
  </w:footnote>
  <w:footnote w:id="2">
    <w:p w:rsidR="00000000" w:rsidDel="00000000" w:rsidP="00000000" w:rsidRDefault="00000000" w:rsidRPr="00000000" w14:paraId="00000054">
      <w:pPr>
        <w:spacing w:line="240" w:lineRule="auto"/>
        <w:rPr>
          <w:rFonts w:ascii="Crimson Pro" w:cs="Crimson Pro" w:eastAsia="Crimson Pro" w:hAnsi="Crimson Pro"/>
          <w:sz w:val="20"/>
          <w:szCs w:val="20"/>
        </w:rPr>
      </w:pPr>
      <w:r w:rsidDel="00000000" w:rsidR="00000000" w:rsidRPr="00000000">
        <w:rPr>
          <w:rStyle w:val="FootnoteReference"/>
          <w:vertAlign w:val="superscript"/>
        </w:rPr>
        <w:footnoteRef/>
      </w:r>
      <w:r w:rsidDel="00000000" w:rsidR="00000000" w:rsidRPr="00000000">
        <w:rPr>
          <w:rFonts w:ascii="Crimson Pro" w:cs="Crimson Pro" w:eastAsia="Crimson Pro" w:hAnsi="Crimson Pro"/>
          <w:sz w:val="20"/>
          <w:szCs w:val="20"/>
          <w:rtl w:val="0"/>
        </w:rPr>
        <w:t xml:space="preserve"> </w:t>
      </w:r>
      <w:r w:rsidDel="00000000" w:rsidR="00000000" w:rsidRPr="00000000">
        <w:rPr>
          <w:rFonts w:ascii="Crimson Pro" w:cs="Crimson Pro" w:eastAsia="Crimson Pro" w:hAnsi="Crimson Pro"/>
          <w:i w:val="1"/>
          <w:sz w:val="20"/>
          <w:szCs w:val="20"/>
          <w:rtl w:val="0"/>
        </w:rPr>
        <w:t xml:space="preserve">See, e.g.,</w:t>
      </w:r>
      <w:r w:rsidDel="00000000" w:rsidR="00000000" w:rsidRPr="00000000">
        <w:rPr>
          <w:rFonts w:ascii="Crimson Pro" w:cs="Crimson Pro" w:eastAsia="Crimson Pro" w:hAnsi="Crimson Pro"/>
          <w:sz w:val="20"/>
          <w:szCs w:val="20"/>
          <w:rtl w:val="0"/>
        </w:rPr>
        <w:t xml:space="preserve"> Nicholas Schmidt and Bryce Stephens, An Introduction to Artificial Intelligence and Solutions to the Problems of Algorithmic Discrimination, November 2019, </w:t>
      </w:r>
      <w:r w:rsidDel="00000000" w:rsidR="00000000" w:rsidRPr="00000000">
        <w:rPr>
          <w:rFonts w:ascii="Crimson Pro" w:cs="Crimson Pro" w:eastAsia="Crimson Pro" w:hAnsi="Crimson Pro"/>
          <w:i w:val="1"/>
          <w:sz w:val="20"/>
          <w:szCs w:val="20"/>
          <w:rtl w:val="0"/>
        </w:rPr>
        <w:t xml:space="preserve">available at</w:t>
      </w:r>
      <w:r w:rsidDel="00000000" w:rsidR="00000000" w:rsidRPr="00000000">
        <w:rPr>
          <w:rFonts w:ascii="Crimson Pro" w:cs="Crimson Pro" w:eastAsia="Crimson Pro" w:hAnsi="Crimson Pro"/>
          <w:sz w:val="20"/>
          <w:szCs w:val="20"/>
          <w:rtl w:val="0"/>
        </w:rPr>
        <w:t xml:space="preserve"> https://arxiv.org/ftp/arxiv/papers/1911/1911.05755.pdf.</w:t>
      </w:r>
    </w:p>
  </w:footnote>
  <w:footnote w:id="1">
    <w:p w:rsidR="00000000" w:rsidDel="00000000" w:rsidP="00000000" w:rsidRDefault="00000000" w:rsidRPr="00000000" w14:paraId="00000055">
      <w:pPr>
        <w:spacing w:line="240" w:lineRule="auto"/>
        <w:rPr>
          <w:rFonts w:ascii="Crimson Pro" w:cs="Crimson Pro" w:eastAsia="Crimson Pro" w:hAnsi="Crimson Pro"/>
          <w:sz w:val="20"/>
          <w:szCs w:val="20"/>
        </w:rPr>
      </w:pPr>
      <w:r w:rsidDel="00000000" w:rsidR="00000000" w:rsidRPr="00000000">
        <w:rPr>
          <w:rStyle w:val="FootnoteReference"/>
          <w:vertAlign w:val="superscript"/>
        </w:rPr>
        <w:footnoteRef/>
      </w:r>
      <w:r w:rsidDel="00000000" w:rsidR="00000000" w:rsidRPr="00000000">
        <w:rPr>
          <w:rFonts w:ascii="Crimson Pro" w:cs="Crimson Pro" w:eastAsia="Crimson Pro" w:hAnsi="Crimson Pro"/>
          <w:sz w:val="20"/>
          <w:szCs w:val="20"/>
          <w:rtl w:val="0"/>
        </w:rPr>
        <w:t xml:space="preserve"> Some of the undersigned have submitted a detailed response to the Request for Information and Comment on Financial Institutions’ Use of Artificial Intelligence, including Machine Learning issued by the financial regulatory institutions, which provides more detailed recommendations.</w:t>
      </w:r>
    </w:p>
  </w:footnote>
  <w:footnote w:id="20">
    <w:p w:rsidR="00000000" w:rsidDel="00000000" w:rsidP="00000000" w:rsidRDefault="00000000" w:rsidRPr="00000000" w14:paraId="00000056">
      <w:pPr>
        <w:spacing w:line="240" w:lineRule="auto"/>
        <w:rPr>
          <w:rFonts w:ascii="Crimson Pro" w:cs="Crimson Pro" w:eastAsia="Crimson Pro" w:hAnsi="Crimson Pro"/>
          <w:sz w:val="20"/>
          <w:szCs w:val="20"/>
        </w:rPr>
      </w:pPr>
      <w:r w:rsidDel="00000000" w:rsidR="00000000" w:rsidRPr="00000000">
        <w:rPr>
          <w:rStyle w:val="FootnoteReference"/>
          <w:vertAlign w:val="superscript"/>
        </w:rPr>
        <w:footnoteRef/>
      </w:r>
      <w:r w:rsidDel="00000000" w:rsidR="00000000" w:rsidRPr="00000000">
        <w:rPr>
          <w:rFonts w:ascii="Crimson Pro" w:cs="Crimson Pro" w:eastAsia="Crimson Pro" w:hAnsi="Crimson Pro"/>
          <w:sz w:val="20"/>
          <w:szCs w:val="20"/>
          <w:rtl w:val="0"/>
        </w:rPr>
        <w:t xml:space="preserve"> </w:t>
      </w:r>
      <w:r w:rsidDel="00000000" w:rsidR="00000000" w:rsidRPr="00000000">
        <w:rPr>
          <w:rFonts w:ascii="Crimson Pro" w:cs="Crimson Pro" w:eastAsia="Crimson Pro" w:hAnsi="Crimson Pro"/>
          <w:i w:val="1"/>
          <w:sz w:val="20"/>
          <w:szCs w:val="20"/>
          <w:rtl w:val="0"/>
        </w:rPr>
        <w:t xml:space="preserve">See, e.g.,</w:t>
      </w:r>
      <w:r w:rsidDel="00000000" w:rsidR="00000000" w:rsidRPr="00000000">
        <w:rPr>
          <w:rFonts w:ascii="Crimson Pro" w:cs="Crimson Pro" w:eastAsia="Crimson Pro" w:hAnsi="Crimson Pro"/>
          <w:sz w:val="20"/>
          <w:szCs w:val="20"/>
          <w:rtl w:val="0"/>
        </w:rPr>
        <w:t xml:space="preserve"> Upturn, Led Astray: Online Lead Generation and Payday Loans, October 2015, </w:t>
      </w:r>
      <w:r w:rsidDel="00000000" w:rsidR="00000000" w:rsidRPr="00000000">
        <w:rPr>
          <w:rFonts w:ascii="Crimson Pro" w:cs="Crimson Pro" w:eastAsia="Crimson Pro" w:hAnsi="Crimson Pro"/>
          <w:i w:val="1"/>
          <w:sz w:val="20"/>
          <w:szCs w:val="20"/>
          <w:rtl w:val="0"/>
        </w:rPr>
        <w:t xml:space="preserve">available at</w:t>
      </w:r>
      <w:r w:rsidDel="00000000" w:rsidR="00000000" w:rsidRPr="00000000">
        <w:rPr>
          <w:rFonts w:ascii="Crimson Pro" w:cs="Crimson Pro" w:eastAsia="Crimson Pro" w:hAnsi="Crimson Pro"/>
          <w:sz w:val="20"/>
          <w:szCs w:val="20"/>
          <w:rtl w:val="0"/>
        </w:rPr>
        <w:t xml:space="preserve"> https://www.upturn.org/reports/2015/led-astray/.</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1">
    <w:pPr>
      <w:jc w:val="left"/>
      <w:rPr>
        <w:rFonts w:ascii="Crimson Pro" w:cs="Crimson Pro" w:eastAsia="Crimson Pro" w:hAnsi="Crimson Pr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ato" w:cs="Lato" w:eastAsia="Lato" w:hAnsi="Lato"/>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1" Type="http://schemas.openxmlformats.org/officeDocument/2006/relationships/font" Target="fonts/CrimsonProExtraLight-italic.ttf"/><Relationship Id="rId10" Type="http://schemas.openxmlformats.org/officeDocument/2006/relationships/font" Target="fonts/CrimsonProExtraLight-bold.ttf"/><Relationship Id="rId13" Type="http://schemas.openxmlformats.org/officeDocument/2006/relationships/font" Target="fonts/CrimsonPro-regular.ttf"/><Relationship Id="rId12" Type="http://schemas.openxmlformats.org/officeDocument/2006/relationships/font" Target="fonts/CrimsonProExtraLight-boldItalic.ttf"/><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 Id="rId9" Type="http://schemas.openxmlformats.org/officeDocument/2006/relationships/font" Target="fonts/CrimsonProExtraLight-regular.ttf"/><Relationship Id="rId15" Type="http://schemas.openxmlformats.org/officeDocument/2006/relationships/font" Target="fonts/CrimsonPro-italic.ttf"/><Relationship Id="rId14" Type="http://schemas.openxmlformats.org/officeDocument/2006/relationships/font" Target="fonts/CrimsonPro-bold.ttf"/><Relationship Id="rId16" Type="http://schemas.openxmlformats.org/officeDocument/2006/relationships/font" Target="fonts/CrimsonPro-boldItalic.ttf"/><Relationship Id="rId5" Type="http://schemas.openxmlformats.org/officeDocument/2006/relationships/font" Target="fonts/Overpass-regular.ttf"/><Relationship Id="rId6" Type="http://schemas.openxmlformats.org/officeDocument/2006/relationships/font" Target="fonts/Overpass-bold.ttf"/><Relationship Id="rId7" Type="http://schemas.openxmlformats.org/officeDocument/2006/relationships/font" Target="fonts/Overpass-italic.ttf"/><Relationship Id="rId8" Type="http://schemas.openxmlformats.org/officeDocument/2006/relationships/font" Target="fonts/Overpas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